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6" w:type="dxa"/>
        <w:tblCellMar>
          <w:left w:w="10" w:type="dxa"/>
          <w:right w:w="10" w:type="dxa"/>
        </w:tblCellMar>
        <w:tblLook w:val="0000" w:firstRow="0" w:lastRow="0" w:firstColumn="0" w:lastColumn="0" w:noHBand="0" w:noVBand="0"/>
      </w:tblPr>
      <w:tblGrid>
        <w:gridCol w:w="4520"/>
        <w:gridCol w:w="4506"/>
      </w:tblGrid>
      <w:tr w:rsidR="00E53289" w:rsidRPr="00081159" w14:paraId="44F8D70B" w14:textId="77777777" w:rsidTr="00B47A1C">
        <w:trPr>
          <w:trHeight w:val="1276"/>
        </w:trPr>
        <w:tc>
          <w:tcPr>
            <w:tcW w:w="4520" w:type="dxa"/>
            <w:vMerge w:val="restart"/>
            <w:shd w:val="clear" w:color="auto" w:fill="auto"/>
            <w:tcMar>
              <w:top w:w="0" w:type="dxa"/>
              <w:left w:w="0" w:type="dxa"/>
              <w:bottom w:w="0" w:type="dxa"/>
              <w:right w:w="0" w:type="dxa"/>
            </w:tcMar>
          </w:tcPr>
          <w:p w14:paraId="1F9C7124" w14:textId="77777777" w:rsidR="00E53289" w:rsidRPr="00081159" w:rsidRDefault="00E53289" w:rsidP="00B47A1C">
            <w:pPr>
              <w:tabs>
                <w:tab w:val="left" w:pos="7034"/>
              </w:tabs>
              <w:spacing w:after="0" w:line="240" w:lineRule="auto"/>
            </w:pPr>
            <w:bookmarkStart w:id="0" w:name="_Hlk40253369"/>
            <w:r w:rsidRPr="00081159">
              <w:rPr>
                <w:noProof/>
                <w:sz w:val="22"/>
                <w:szCs w:val="22"/>
                <w:lang w:eastAsia="en-IE"/>
              </w:rPr>
              <w:drawing>
                <wp:inline distT="0" distB="0" distL="0" distR="0" wp14:anchorId="2A327F78" wp14:editId="6E50EB9E">
                  <wp:extent cx="2009778" cy="1066803"/>
                  <wp:effectExtent l="0" t="0" r="9522" b="0"/>
                  <wp:docPr id="1" name="Picture 1"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7"/>
                          <a:srcRect/>
                          <a:stretch>
                            <a:fillRect/>
                          </a:stretch>
                        </pic:blipFill>
                        <pic:spPr>
                          <a:xfrm>
                            <a:off x="0" y="0"/>
                            <a:ext cx="2009778" cy="1066803"/>
                          </a:xfrm>
                          <a:prstGeom prst="rect">
                            <a:avLst/>
                          </a:prstGeom>
                          <a:noFill/>
                          <a:ln>
                            <a:noFill/>
                            <a:prstDash/>
                          </a:ln>
                        </pic:spPr>
                      </pic:pic>
                    </a:graphicData>
                  </a:graphic>
                </wp:inline>
              </w:drawing>
            </w:r>
          </w:p>
        </w:tc>
        <w:tc>
          <w:tcPr>
            <w:tcW w:w="4506" w:type="dxa"/>
            <w:shd w:val="clear" w:color="auto" w:fill="auto"/>
            <w:tcMar>
              <w:top w:w="0" w:type="dxa"/>
              <w:left w:w="108" w:type="dxa"/>
              <w:bottom w:w="0" w:type="dxa"/>
              <w:right w:w="108" w:type="dxa"/>
            </w:tcMar>
            <w:vAlign w:val="bottom"/>
          </w:tcPr>
          <w:p w14:paraId="4FAD433A" w14:textId="77777777" w:rsidR="00E53289" w:rsidRPr="00081159" w:rsidRDefault="00E53289" w:rsidP="00B47A1C">
            <w:pPr>
              <w:spacing w:after="0" w:line="440" w:lineRule="exact"/>
              <w:rPr>
                <w:b/>
                <w:sz w:val="36"/>
                <w:szCs w:val="36"/>
              </w:rPr>
            </w:pPr>
            <w:r w:rsidRPr="00081159">
              <w:rPr>
                <w:b/>
                <w:sz w:val="36"/>
                <w:szCs w:val="36"/>
              </w:rPr>
              <w:t>Memorandum</w:t>
            </w:r>
          </w:p>
        </w:tc>
      </w:tr>
      <w:tr w:rsidR="00E53289" w:rsidRPr="00081159" w14:paraId="60593FC0" w14:textId="77777777" w:rsidTr="00B47A1C">
        <w:trPr>
          <w:trHeight w:val="996"/>
        </w:trPr>
        <w:tc>
          <w:tcPr>
            <w:tcW w:w="4520" w:type="dxa"/>
            <w:vMerge/>
            <w:shd w:val="clear" w:color="auto" w:fill="auto"/>
            <w:tcMar>
              <w:top w:w="0" w:type="dxa"/>
              <w:left w:w="0" w:type="dxa"/>
              <w:bottom w:w="0" w:type="dxa"/>
              <w:right w:w="0" w:type="dxa"/>
            </w:tcMar>
          </w:tcPr>
          <w:p w14:paraId="195EAC12" w14:textId="77777777" w:rsidR="00E53289" w:rsidRPr="00081159" w:rsidRDefault="00E53289" w:rsidP="00B47A1C">
            <w:pPr>
              <w:spacing w:after="0" w:line="240" w:lineRule="auto"/>
              <w:rPr>
                <w:sz w:val="22"/>
                <w:szCs w:val="22"/>
              </w:rPr>
            </w:pPr>
          </w:p>
        </w:tc>
        <w:tc>
          <w:tcPr>
            <w:tcW w:w="4506" w:type="dxa"/>
            <w:shd w:val="clear" w:color="auto" w:fill="auto"/>
            <w:tcMar>
              <w:top w:w="0" w:type="dxa"/>
              <w:left w:w="108" w:type="dxa"/>
              <w:bottom w:w="0" w:type="dxa"/>
              <w:right w:w="108" w:type="dxa"/>
            </w:tcMar>
          </w:tcPr>
          <w:p w14:paraId="5FFBF7AB" w14:textId="6B8F47ED" w:rsidR="00E53289" w:rsidRPr="00081159" w:rsidRDefault="00E53289" w:rsidP="00B47A1C">
            <w:pPr>
              <w:spacing w:after="0" w:line="440" w:lineRule="exact"/>
            </w:pPr>
            <w:r w:rsidRPr="00081159">
              <w:rPr>
                <w:b/>
                <w:sz w:val="36"/>
                <w:szCs w:val="36"/>
              </w:rPr>
              <w:t>ABP-</w:t>
            </w:r>
            <w:r>
              <w:rPr>
                <w:b/>
                <w:sz w:val="36"/>
                <w:szCs w:val="36"/>
              </w:rPr>
              <w:t>313220-22</w:t>
            </w:r>
          </w:p>
        </w:tc>
      </w:tr>
      <w:tr w:rsidR="00E53289" w:rsidRPr="00081159" w14:paraId="311E5047" w14:textId="77777777" w:rsidTr="00B47A1C">
        <w:trPr>
          <w:trHeight w:val="571"/>
        </w:trPr>
        <w:tc>
          <w:tcPr>
            <w:tcW w:w="9026" w:type="dxa"/>
            <w:gridSpan w:val="2"/>
            <w:shd w:val="clear" w:color="auto" w:fill="auto"/>
            <w:tcMar>
              <w:top w:w="0" w:type="dxa"/>
              <w:left w:w="0" w:type="dxa"/>
              <w:bottom w:w="0" w:type="dxa"/>
              <w:right w:w="0" w:type="dxa"/>
            </w:tcMar>
          </w:tcPr>
          <w:p w14:paraId="5AEF806A" w14:textId="77777777" w:rsidR="00E53289" w:rsidRPr="00081159" w:rsidRDefault="00E53289" w:rsidP="00B47A1C">
            <w:pPr>
              <w:tabs>
                <w:tab w:val="left" w:pos="510"/>
              </w:tabs>
              <w:spacing w:after="0" w:line="460" w:lineRule="exact"/>
            </w:pPr>
            <w:r w:rsidRPr="00081159">
              <w:rPr>
                <w:noProof/>
                <w:sz w:val="22"/>
                <w:szCs w:val="22"/>
              </w:rPr>
              <mc:AlternateContent>
                <mc:Choice Requires="wps">
                  <w:drawing>
                    <wp:anchor distT="0" distB="0" distL="114300" distR="114300" simplePos="0" relativeHeight="251660288" behindDoc="0" locked="0" layoutInCell="1" allowOverlap="1" wp14:anchorId="316C021D" wp14:editId="1799D3CD">
                      <wp:simplePos x="0" y="0"/>
                      <wp:positionH relativeFrom="page">
                        <wp:posOffset>0</wp:posOffset>
                      </wp:positionH>
                      <wp:positionV relativeFrom="page">
                        <wp:posOffset>167006</wp:posOffset>
                      </wp:positionV>
                      <wp:extent cx="5728972" cy="99697"/>
                      <wp:effectExtent l="0" t="0" r="24128" b="14603"/>
                      <wp:wrapNone/>
                      <wp:docPr id="2" name="Rectangle 4"/>
                      <wp:cNvGraphicFramePr/>
                      <a:graphic xmlns:a="http://schemas.openxmlformats.org/drawingml/2006/main">
                        <a:graphicData uri="http://schemas.microsoft.com/office/word/2010/wordprocessingShape">
                          <wps:wsp>
                            <wps:cNvSpPr/>
                            <wps:spPr>
                              <a:xfrm>
                                <a:off x="0" y="0"/>
                                <a:ext cx="5728972" cy="99697"/>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52DEAD1D" id="Rectangle 4" o:spid="_x0000_s1026" style="position:absolute;margin-left:0;margin-top:13.15pt;width:451.1pt;height:7.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baoQEAAGYDAAAOAAAAZHJzL2Uyb0RvYy54bWysU81u2zAMvg/YOwi6L3YMrGmMOD006DCg&#10;aAt0ewBFlmIB+gOpxcnbl5Lz026XYZgPFClSH8mP9Oru4CzbK0ATfMfns5oz5WXojd91/OePhy+3&#10;nGESvhc2eNXxo0J+t/78aTXGVjVhCLZXwAjEYzvGjg8pxbaqUA7KCZyFqDw5dQAnEpmwq3oQI6E7&#10;WzV1fVONAfoIQSpEut1MTr4u+FormZ61RpWY7TjVloqEIrdZVuuVaHcg4mDkqQzxD1U4YTwlvUBt&#10;RBLsF5g/oJyREDDoNJPBVUFrI1XpgbqZ17918zqIqEovRA7GC034/2Dl0/41vgDRMEZskdTcxUGD&#10;yyfVxw6FrOOFLHVITNLl10Vzu1w0nEnyLZc3y0Ums7o+joDpmwqOZaXjQLMoFIn9I6Yp9BySc2Gw&#10;pn8w1hYDdtt7C2wv8tzKd0L/EGY9G2nrmkU9pzoE7Y+2YsryIQ7/Di6XsxE4TGkLwrQgziSVOaLu&#10;rKfjylXWtqE/vgCz3z0NJi/ZWYGzsj0pGSK/oGEWsNPi5W15b5eo6++xfgMAAP//AwBQSwMEFAAG&#10;AAgAAAAhAME8kIDdAAAABgEAAA8AAABkcnMvZG93bnJldi54bWxMj0FLxDAUhO+C/yE8wUtxE6Os&#10;a+3rIoIIIiyu23u2zSbF5KU22W7998aTHocZZr6p1rN3bNJj7AMhXC8EME1t6HoyCLuP56sVsJgU&#10;dcoF0gjfOsK6Pj+rVNmFE73raZsMyyUUS4VgUxpKzmNrtVdxEQZN2TuE0auU5Wh4N6pTLveOSyGW&#10;3Kue8oJVg36yuv3cHj3CXSOLw+a1aXtbfL1MhWnM28YhXl7Mjw/Akp7TXxh+8TM61JlpH47UReYQ&#10;8pGEIJc3wLJ7L6QEtke4lQJ4XfH/+PUPAAAA//8DAFBLAQItABQABgAIAAAAIQC2gziS/gAAAOEB&#10;AAATAAAAAAAAAAAAAAAAAAAAAABbQ29udGVudF9UeXBlc10ueG1sUEsBAi0AFAAGAAgAAAAhADj9&#10;If/WAAAAlAEAAAsAAAAAAAAAAAAAAAAALwEAAF9yZWxzLy5yZWxzUEsBAi0AFAAGAAgAAAAhAMgn&#10;VtqhAQAAZgMAAA4AAAAAAAAAAAAAAAAALgIAAGRycy9lMm9Eb2MueG1sUEsBAi0AFAAGAAgAAAAh&#10;AME8kIDdAAAABgEAAA8AAAAAAAAAAAAAAAAA+wMAAGRycy9kb3ducmV2LnhtbFBLBQYAAAAABAAE&#10;APMAAAAFBQAAAAA=&#10;" fillcolor="black" strokeweight=".35281mm">
                      <v:textbox inset="0,0,0,0"/>
                      <w10:wrap anchorx="page" anchory="page"/>
                    </v:rect>
                  </w:pict>
                </mc:Fallback>
              </mc:AlternateContent>
            </w:r>
          </w:p>
        </w:tc>
      </w:tr>
    </w:tbl>
    <w:p w14:paraId="72FA919A" w14:textId="77777777" w:rsidR="00E53289" w:rsidRPr="00081159" w:rsidRDefault="00E53289" w:rsidP="00E53289">
      <w:pPr>
        <w:spacing w:after="0"/>
        <w:rPr>
          <w:vanish/>
        </w:rPr>
      </w:pPr>
    </w:p>
    <w:tbl>
      <w:tblPr>
        <w:tblW w:w="5000" w:type="pct"/>
        <w:tblCellMar>
          <w:left w:w="10" w:type="dxa"/>
          <w:right w:w="10" w:type="dxa"/>
        </w:tblCellMar>
        <w:tblLook w:val="0000" w:firstRow="0" w:lastRow="0" w:firstColumn="0" w:lastColumn="0" w:noHBand="0" w:noVBand="0"/>
      </w:tblPr>
      <w:tblGrid>
        <w:gridCol w:w="896"/>
        <w:gridCol w:w="4065"/>
        <w:gridCol w:w="4065"/>
      </w:tblGrid>
      <w:tr w:rsidR="00E53289" w:rsidRPr="00081159" w14:paraId="570E0A61" w14:textId="77777777" w:rsidTr="00B47A1C">
        <w:trPr>
          <w:trHeight w:val="409"/>
        </w:trPr>
        <w:tc>
          <w:tcPr>
            <w:tcW w:w="896" w:type="dxa"/>
            <w:shd w:val="clear" w:color="auto" w:fill="auto"/>
            <w:tcMar>
              <w:top w:w="0" w:type="dxa"/>
              <w:left w:w="108" w:type="dxa"/>
              <w:bottom w:w="0" w:type="dxa"/>
              <w:right w:w="108" w:type="dxa"/>
            </w:tcMar>
          </w:tcPr>
          <w:p w14:paraId="11B0AAAC" w14:textId="77777777" w:rsidR="00E53289" w:rsidRPr="006E362B" w:rsidRDefault="00E53289" w:rsidP="00B47A1C">
            <w:pPr>
              <w:spacing w:after="0" w:line="240" w:lineRule="auto"/>
            </w:pPr>
            <w:r w:rsidRPr="006E362B">
              <w:t>To:</w:t>
            </w:r>
          </w:p>
        </w:tc>
        <w:tc>
          <w:tcPr>
            <w:tcW w:w="8130" w:type="dxa"/>
            <w:gridSpan w:val="2"/>
            <w:shd w:val="clear" w:color="auto" w:fill="auto"/>
            <w:tcMar>
              <w:top w:w="0" w:type="dxa"/>
              <w:left w:w="108" w:type="dxa"/>
              <w:bottom w:w="0" w:type="dxa"/>
              <w:right w:w="108" w:type="dxa"/>
            </w:tcMar>
          </w:tcPr>
          <w:p w14:paraId="41904759" w14:textId="6DA3A3EF" w:rsidR="00E53289" w:rsidRPr="006E362B" w:rsidRDefault="00E53289" w:rsidP="00B47A1C">
            <w:pPr>
              <w:spacing w:after="0" w:line="240" w:lineRule="auto"/>
            </w:pPr>
            <w:r>
              <w:t xml:space="preserve"> Allocated inspector</w:t>
            </w:r>
          </w:p>
        </w:tc>
      </w:tr>
      <w:tr w:rsidR="00E53289" w:rsidRPr="00081159" w14:paraId="28751C9F" w14:textId="77777777" w:rsidTr="00B47A1C">
        <w:trPr>
          <w:trHeight w:val="429"/>
        </w:trPr>
        <w:tc>
          <w:tcPr>
            <w:tcW w:w="896" w:type="dxa"/>
            <w:shd w:val="clear" w:color="auto" w:fill="auto"/>
            <w:tcMar>
              <w:top w:w="0" w:type="dxa"/>
              <w:left w:w="108" w:type="dxa"/>
              <w:bottom w:w="0" w:type="dxa"/>
              <w:right w:w="108" w:type="dxa"/>
            </w:tcMar>
          </w:tcPr>
          <w:p w14:paraId="50B11E67" w14:textId="77777777" w:rsidR="00E53289" w:rsidRPr="006E362B" w:rsidRDefault="00E53289" w:rsidP="00B47A1C">
            <w:pPr>
              <w:spacing w:after="0" w:line="240" w:lineRule="auto"/>
            </w:pPr>
            <w:r w:rsidRPr="006E362B">
              <w:t>From:</w:t>
            </w:r>
          </w:p>
        </w:tc>
        <w:tc>
          <w:tcPr>
            <w:tcW w:w="8130" w:type="dxa"/>
            <w:gridSpan w:val="2"/>
            <w:shd w:val="clear" w:color="auto" w:fill="auto"/>
            <w:tcMar>
              <w:top w:w="0" w:type="dxa"/>
              <w:left w:w="108" w:type="dxa"/>
              <w:bottom w:w="0" w:type="dxa"/>
              <w:right w:w="108" w:type="dxa"/>
            </w:tcMar>
          </w:tcPr>
          <w:p w14:paraId="35E8363A" w14:textId="2F54B569" w:rsidR="00E53289" w:rsidRPr="006E362B" w:rsidRDefault="00E53289" w:rsidP="00B47A1C">
            <w:pPr>
              <w:spacing w:after="0" w:line="240" w:lineRule="auto"/>
            </w:pPr>
            <w:r>
              <w:t xml:space="preserve"> Hannah Cullen, Executive Officer</w:t>
            </w:r>
          </w:p>
        </w:tc>
      </w:tr>
      <w:tr w:rsidR="00E53289" w:rsidRPr="00081159" w14:paraId="76067B67" w14:textId="77777777" w:rsidTr="00B47A1C">
        <w:trPr>
          <w:trHeight w:val="420"/>
        </w:trPr>
        <w:tc>
          <w:tcPr>
            <w:tcW w:w="896" w:type="dxa"/>
            <w:shd w:val="clear" w:color="auto" w:fill="auto"/>
            <w:tcMar>
              <w:top w:w="0" w:type="dxa"/>
              <w:left w:w="108" w:type="dxa"/>
              <w:bottom w:w="0" w:type="dxa"/>
              <w:right w:w="108" w:type="dxa"/>
            </w:tcMar>
          </w:tcPr>
          <w:p w14:paraId="2FD7D987" w14:textId="77777777" w:rsidR="00E53289" w:rsidRPr="006E362B" w:rsidRDefault="00E53289" w:rsidP="00B47A1C">
            <w:pPr>
              <w:spacing w:after="0" w:line="240" w:lineRule="auto"/>
            </w:pPr>
            <w:r w:rsidRPr="006E362B">
              <w:t>Re:</w:t>
            </w:r>
          </w:p>
        </w:tc>
        <w:tc>
          <w:tcPr>
            <w:tcW w:w="8130" w:type="dxa"/>
            <w:gridSpan w:val="2"/>
            <w:shd w:val="clear" w:color="auto" w:fill="auto"/>
            <w:tcMar>
              <w:top w:w="0" w:type="dxa"/>
              <w:left w:w="108" w:type="dxa"/>
              <w:bottom w:w="0" w:type="dxa"/>
              <w:right w:w="108" w:type="dxa"/>
            </w:tcMar>
          </w:tcPr>
          <w:p w14:paraId="06C0DAC0" w14:textId="485B0CDB" w:rsidR="00E53289" w:rsidRDefault="00E53289" w:rsidP="00B47A1C">
            <w:pPr>
              <w:spacing w:after="0" w:line="240" w:lineRule="auto"/>
            </w:pPr>
            <w:r>
              <w:t>​ Demolition of all existing buildings on site, construction of 881 no. apartments, creche and associated site works. Site incorporating the old Dundrum Shopping Centre known as Dundrum Village Centre and adjacent properties to the west of Main Street, Dundrum, Dublin 14.</w:t>
            </w:r>
          </w:p>
          <w:p w14:paraId="2F94AEE6" w14:textId="77777777" w:rsidR="00E53289" w:rsidRPr="006E362B" w:rsidRDefault="00E53289" w:rsidP="00B47A1C">
            <w:pPr>
              <w:spacing w:after="0" w:line="240" w:lineRule="auto"/>
            </w:pPr>
          </w:p>
        </w:tc>
      </w:tr>
      <w:tr w:rsidR="00E53289" w:rsidRPr="00081159" w14:paraId="02A767F3" w14:textId="77777777" w:rsidTr="00B47A1C">
        <w:trPr>
          <w:trHeight w:val="80"/>
        </w:trPr>
        <w:tc>
          <w:tcPr>
            <w:tcW w:w="896" w:type="dxa"/>
            <w:shd w:val="clear" w:color="auto" w:fill="auto"/>
            <w:tcMar>
              <w:top w:w="0" w:type="dxa"/>
              <w:left w:w="108" w:type="dxa"/>
              <w:bottom w:w="0" w:type="dxa"/>
              <w:right w:w="108" w:type="dxa"/>
            </w:tcMar>
          </w:tcPr>
          <w:p w14:paraId="71B9140D" w14:textId="77777777" w:rsidR="00E53289" w:rsidRPr="006E362B" w:rsidRDefault="00E53289" w:rsidP="00B47A1C">
            <w:pPr>
              <w:spacing w:after="0" w:line="240" w:lineRule="auto"/>
            </w:pPr>
            <w:r>
              <w:t>Date:</w:t>
            </w:r>
          </w:p>
        </w:tc>
        <w:tc>
          <w:tcPr>
            <w:tcW w:w="8130" w:type="dxa"/>
            <w:gridSpan w:val="2"/>
            <w:shd w:val="clear" w:color="auto" w:fill="auto"/>
            <w:tcMar>
              <w:top w:w="0" w:type="dxa"/>
              <w:left w:w="108" w:type="dxa"/>
              <w:bottom w:w="0" w:type="dxa"/>
              <w:right w:w="108" w:type="dxa"/>
            </w:tcMar>
          </w:tcPr>
          <w:p w14:paraId="64433DD1" w14:textId="69F32EFF" w:rsidR="00E53289" w:rsidRPr="006E362B" w:rsidRDefault="00E53289" w:rsidP="00B47A1C">
            <w:pPr>
              <w:spacing w:after="0" w:line="240" w:lineRule="auto"/>
            </w:pPr>
            <w:r>
              <w:t xml:space="preserve"> 14</w:t>
            </w:r>
            <w:r w:rsidRPr="00E53289">
              <w:rPr>
                <w:vertAlign w:val="superscript"/>
              </w:rPr>
              <w:t>th</w:t>
            </w:r>
            <w:r>
              <w:t xml:space="preserve"> June 2022</w:t>
            </w:r>
          </w:p>
        </w:tc>
      </w:tr>
      <w:tr w:rsidR="00E53289" w:rsidRPr="00081159" w14:paraId="1CD5357A" w14:textId="77777777" w:rsidTr="00B47A1C">
        <w:trPr>
          <w:trHeight w:hRule="exact" w:val="460"/>
        </w:trPr>
        <w:tc>
          <w:tcPr>
            <w:tcW w:w="896" w:type="dxa"/>
            <w:shd w:val="clear" w:color="auto" w:fill="auto"/>
            <w:tcMar>
              <w:top w:w="0" w:type="dxa"/>
              <w:left w:w="108" w:type="dxa"/>
              <w:bottom w:w="0" w:type="dxa"/>
              <w:right w:w="108" w:type="dxa"/>
            </w:tcMar>
          </w:tcPr>
          <w:p w14:paraId="6B4B93C4" w14:textId="77777777" w:rsidR="00E53289" w:rsidRPr="00081159" w:rsidRDefault="00E53289" w:rsidP="00B47A1C">
            <w:pPr>
              <w:spacing w:after="0" w:line="460" w:lineRule="exact"/>
            </w:pPr>
            <w:r w:rsidRPr="00081159">
              <w:rPr>
                <w:noProof/>
                <w:sz w:val="22"/>
                <w:szCs w:val="22"/>
              </w:rPr>
              <mc:AlternateContent>
                <mc:Choice Requires="wps">
                  <w:drawing>
                    <wp:anchor distT="0" distB="0" distL="114300" distR="114300" simplePos="0" relativeHeight="251659264" behindDoc="0" locked="0" layoutInCell="1" allowOverlap="1" wp14:anchorId="035F1AF8" wp14:editId="729A581C">
                      <wp:simplePos x="0" y="0"/>
                      <wp:positionH relativeFrom="margin">
                        <wp:posOffset>-67945</wp:posOffset>
                      </wp:positionH>
                      <wp:positionV relativeFrom="page">
                        <wp:posOffset>59055</wp:posOffset>
                      </wp:positionV>
                      <wp:extent cx="5728972" cy="49533"/>
                      <wp:effectExtent l="0" t="0" r="24128" b="26667"/>
                      <wp:wrapNone/>
                      <wp:docPr id="3" name="Rectangle 2"/>
                      <wp:cNvGraphicFramePr/>
                      <a:graphic xmlns:a="http://schemas.openxmlformats.org/drawingml/2006/main">
                        <a:graphicData uri="http://schemas.microsoft.com/office/word/2010/wordprocessingShape">
                          <wps:wsp>
                            <wps:cNvSpPr/>
                            <wps:spPr>
                              <a:xfrm>
                                <a:off x="0" y="0"/>
                                <a:ext cx="5728972" cy="49533"/>
                              </a:xfrm>
                              <a:prstGeom prst="rect">
                                <a:avLst/>
                              </a:prstGeom>
                              <a:solidFill>
                                <a:srgbClr val="000000"/>
                              </a:solidFill>
                              <a:ln w="25402" cap="flat">
                                <a:solidFill>
                                  <a:srgbClr val="000000"/>
                                </a:solidFill>
                                <a:prstDash val="solid"/>
                                <a:miter/>
                              </a:ln>
                            </wps:spPr>
                            <wps:bodyPr lIns="0" tIns="0" rIns="0" bIns="0"/>
                          </wps:wsp>
                        </a:graphicData>
                      </a:graphic>
                    </wp:anchor>
                  </w:drawing>
                </mc:Choice>
                <mc:Fallback>
                  <w:pict>
                    <v:rect w14:anchorId="67303B41" id="Rectangle 2" o:spid="_x0000_s1026" style="position:absolute;margin-left:-5.35pt;margin-top:4.65pt;width:451.1pt;height:3.9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eLogEAAGYDAAAOAAAAZHJzL2Uyb0RvYy54bWysU81u2zAMvg/YOwi6N3bdZm2NOD006DBg&#10;2Ap0fQBFlmIB+gOpxcnbj5Lzs26XoqgPFClSH8mP9OJ+5yzbKkATfMcvZzVnysvQG7/p+Muvx4tb&#10;zjAJ3wsbvOr4XiG/X37+tBhjq5owBNsrYATisR1jx4eUYltVKAflBM5CVJ6cOoATiUzYVD2IkdCd&#10;rZq6/lKNAfoIQSpEul1NTr4s+FormX5qjSox23GqLRUJRa6zrJYL0W5AxMHIQxniHVU4YTwlPUGt&#10;RBLsN5j/oJyREDDoNJPBVUFrI1Xpgbq5rP/p5nkQUZVeiByMJ5rw42Dlj+1zfAKiYYzYIqm5i50G&#10;l0+qj+0KWfsTWWqXmKTL+U1ze3fTcCbJd303v7rKZFbnxxEwfVXBsax0HGgWhSKx/Y5pCj2G5FwY&#10;rOkfjbXFgM36wQLbijy38h3QX4VZz8aON/PrOtchaH+0FVOWV3H4NrhczkrgMKUtCNOCOJNU5oi6&#10;s56OM1dZW4d+/wTMfvM0mLxkRwWOyvqgZIj8goZZwA6Ll7flb7tEnX+P5R8AAAD//wMAUEsDBBQA&#10;BgAIAAAAIQBe49Gn4AAAAAgBAAAPAAAAZHJzL2Rvd25yZXYueG1sTI/LTsMwEEX3SPyDNUjsWsdF&#10;0DbEqXiKSEiIBliwc2MTR9jjKHba8PcdVrAc3aN7zxSbyTu2N0PsAkoQ8wyYwSboDlsJ72+PsxWw&#10;mBRq5QIaCT8mwqY8PSlUrsMBt2Zfp5ZRCcZcSbAp9TnnsbHGqzgPvUHKvsLgVaJzaLke1IHKveOL&#10;LLviXnVIC1b15s6a5rsevYT7p9uP8aGdXhdjbZ9dJaqXz20l5fnZdHMNLJkp/cHwq0/qUJLTLoyo&#10;I3MSZiJbEiphfQGM8tVaXALbEbgUwMuC/3+gPAIAAP//AwBQSwECLQAUAAYACAAAACEAtoM4kv4A&#10;AADhAQAAEwAAAAAAAAAAAAAAAAAAAAAAW0NvbnRlbnRfVHlwZXNdLnhtbFBLAQItABQABgAIAAAA&#10;IQA4/SH/1gAAAJQBAAALAAAAAAAAAAAAAAAAAC8BAABfcmVscy8ucmVsc1BLAQItABQABgAIAAAA&#10;IQBc80eLogEAAGYDAAAOAAAAAAAAAAAAAAAAAC4CAABkcnMvZTJvRG9jLnhtbFBLAQItABQABgAI&#10;AAAAIQBe49Gn4AAAAAgBAAAPAAAAAAAAAAAAAAAAAPwDAABkcnMvZG93bnJldi54bWxQSwUGAAAA&#10;AAQABADzAAAACQUAAAAA&#10;" fillcolor="black" strokeweight=".70561mm">
                      <v:textbox inset="0,0,0,0"/>
                      <w10:wrap anchorx="margin" anchory="page"/>
                    </v:rect>
                  </w:pict>
                </mc:Fallback>
              </mc:AlternateContent>
            </w:r>
          </w:p>
        </w:tc>
        <w:tc>
          <w:tcPr>
            <w:tcW w:w="4065" w:type="dxa"/>
            <w:shd w:val="clear" w:color="auto" w:fill="auto"/>
            <w:tcMar>
              <w:top w:w="0" w:type="dxa"/>
              <w:left w:w="108" w:type="dxa"/>
              <w:bottom w:w="0" w:type="dxa"/>
              <w:right w:w="108" w:type="dxa"/>
            </w:tcMar>
          </w:tcPr>
          <w:p w14:paraId="4D70B2C7" w14:textId="77777777" w:rsidR="00E53289" w:rsidRPr="00081159" w:rsidRDefault="00E53289" w:rsidP="00B47A1C">
            <w:pPr>
              <w:spacing w:after="0" w:line="460" w:lineRule="exact"/>
              <w:rPr>
                <w:szCs w:val="22"/>
              </w:rPr>
            </w:pPr>
          </w:p>
        </w:tc>
        <w:tc>
          <w:tcPr>
            <w:tcW w:w="4065" w:type="dxa"/>
            <w:shd w:val="clear" w:color="auto" w:fill="auto"/>
            <w:tcMar>
              <w:top w:w="0" w:type="dxa"/>
              <w:left w:w="108" w:type="dxa"/>
              <w:bottom w:w="0" w:type="dxa"/>
              <w:right w:w="108" w:type="dxa"/>
            </w:tcMar>
          </w:tcPr>
          <w:p w14:paraId="77874E56" w14:textId="77777777" w:rsidR="00E53289" w:rsidRPr="00081159" w:rsidRDefault="00E53289" w:rsidP="00B47A1C">
            <w:pPr>
              <w:spacing w:after="0" w:line="460" w:lineRule="exact"/>
              <w:rPr>
                <w:szCs w:val="22"/>
              </w:rPr>
            </w:pPr>
          </w:p>
        </w:tc>
      </w:tr>
      <w:tr w:rsidR="00E53289" w:rsidRPr="00081159" w14:paraId="33111C9E" w14:textId="77777777" w:rsidTr="00B47A1C">
        <w:trPr>
          <w:trHeight w:hRule="exact" w:val="347"/>
        </w:trPr>
        <w:tc>
          <w:tcPr>
            <w:tcW w:w="896" w:type="dxa"/>
            <w:shd w:val="clear" w:color="auto" w:fill="auto"/>
            <w:tcMar>
              <w:top w:w="0" w:type="dxa"/>
              <w:left w:w="108" w:type="dxa"/>
              <w:bottom w:w="0" w:type="dxa"/>
              <w:right w:w="108" w:type="dxa"/>
            </w:tcMar>
          </w:tcPr>
          <w:p w14:paraId="3A714317" w14:textId="77777777" w:rsidR="00E53289" w:rsidRPr="00081159" w:rsidRDefault="00E53289" w:rsidP="00B47A1C">
            <w:pPr>
              <w:spacing w:after="0" w:line="460" w:lineRule="exact"/>
              <w:rPr>
                <w:szCs w:val="22"/>
              </w:rPr>
            </w:pPr>
          </w:p>
        </w:tc>
        <w:tc>
          <w:tcPr>
            <w:tcW w:w="4065" w:type="dxa"/>
            <w:shd w:val="clear" w:color="auto" w:fill="auto"/>
            <w:tcMar>
              <w:top w:w="0" w:type="dxa"/>
              <w:left w:w="108" w:type="dxa"/>
              <w:bottom w:w="0" w:type="dxa"/>
              <w:right w:w="108" w:type="dxa"/>
            </w:tcMar>
          </w:tcPr>
          <w:p w14:paraId="2627A4EB" w14:textId="77777777" w:rsidR="00E53289" w:rsidRPr="00081159" w:rsidRDefault="00E53289" w:rsidP="00B47A1C">
            <w:pPr>
              <w:spacing w:after="0" w:line="460" w:lineRule="exact"/>
              <w:rPr>
                <w:szCs w:val="22"/>
              </w:rPr>
            </w:pPr>
          </w:p>
        </w:tc>
        <w:tc>
          <w:tcPr>
            <w:tcW w:w="4065" w:type="dxa"/>
            <w:shd w:val="clear" w:color="auto" w:fill="auto"/>
            <w:tcMar>
              <w:top w:w="0" w:type="dxa"/>
              <w:left w:w="108" w:type="dxa"/>
              <w:bottom w:w="0" w:type="dxa"/>
              <w:right w:w="108" w:type="dxa"/>
            </w:tcMar>
          </w:tcPr>
          <w:p w14:paraId="59EEA3DC" w14:textId="77777777" w:rsidR="00E53289" w:rsidRPr="00081159" w:rsidRDefault="00E53289" w:rsidP="00B47A1C">
            <w:pPr>
              <w:spacing w:after="0" w:line="460" w:lineRule="exact"/>
              <w:rPr>
                <w:szCs w:val="22"/>
              </w:rPr>
            </w:pPr>
          </w:p>
        </w:tc>
      </w:tr>
    </w:tbl>
    <w:p w14:paraId="3283B03E" w14:textId="6554EFC4" w:rsidR="00E53289" w:rsidRPr="00081159" w:rsidRDefault="00E53289" w:rsidP="00E53289">
      <w:pPr>
        <w:numPr>
          <w:ilvl w:val="0"/>
          <w:numId w:val="1"/>
        </w:numPr>
        <w:spacing w:after="0"/>
        <w:ind w:left="426"/>
        <w:rPr>
          <w:rFonts w:eastAsia="Times New Roman"/>
        </w:rPr>
      </w:pPr>
      <w:r w:rsidRPr="00081159">
        <w:rPr>
          <w:rFonts w:eastAsia="Times New Roman"/>
        </w:rPr>
        <w:t>Please find hereunder an application for permission for the above-mentioned proposed development</w:t>
      </w:r>
      <w:r>
        <w:rPr>
          <w:rFonts w:eastAsia="Times New Roman"/>
        </w:rPr>
        <w:t>.</w:t>
      </w:r>
      <w:r w:rsidRPr="00081159">
        <w:rPr>
          <w:rFonts w:eastAsia="Times New Roman"/>
        </w:rPr>
        <w:t xml:space="preserve"> A fee of </w:t>
      </w:r>
      <w:r w:rsidR="006D67CA">
        <w:rPr>
          <w:rFonts w:eastAsia="Times New Roman"/>
        </w:rPr>
        <w:t>€80,000.00</w:t>
      </w:r>
      <w:r>
        <w:rPr>
          <w:rFonts w:eastAsia="Times New Roman"/>
        </w:rPr>
        <w:t xml:space="preserve"> </w:t>
      </w:r>
      <w:r w:rsidRPr="00081159">
        <w:rPr>
          <w:rFonts w:eastAsia="Times New Roman"/>
        </w:rPr>
        <w:t>has been submitted with the application. Two printed copies and three electronic copies of the application documentation have been received in accordance with article 297(5) of the Planning and Development (Strategic Housing Development) Regulations 2017.</w:t>
      </w:r>
    </w:p>
    <w:p w14:paraId="010D0202" w14:textId="77777777" w:rsidR="00E53289" w:rsidRPr="00081159" w:rsidRDefault="00E53289" w:rsidP="00E53289">
      <w:pPr>
        <w:spacing w:after="0"/>
        <w:ind w:left="426"/>
        <w:rPr>
          <w:rFonts w:eastAsia="Times New Roman"/>
        </w:rPr>
      </w:pPr>
    </w:p>
    <w:p w14:paraId="6B12C524" w14:textId="344B03A2" w:rsidR="00E53289" w:rsidRPr="00E96D95" w:rsidRDefault="00E53289" w:rsidP="00E53289">
      <w:pPr>
        <w:pStyle w:val="ListParagraph"/>
        <w:numPr>
          <w:ilvl w:val="0"/>
          <w:numId w:val="2"/>
        </w:numPr>
        <w:spacing w:after="0"/>
        <w:rPr>
          <w:rFonts w:eastAsia="Times New Roman"/>
        </w:rPr>
      </w:pPr>
      <w:r w:rsidRPr="00133705">
        <w:rPr>
          <w:rFonts w:eastAsia="Times New Roman"/>
        </w:rPr>
        <w:t>A website has been created:</w:t>
      </w:r>
      <w:r w:rsidRPr="00133705">
        <w:rPr>
          <w:color w:val="6D6F72"/>
          <w:sz w:val="16"/>
          <w:szCs w:val="16"/>
        </w:rPr>
        <w:t xml:space="preserve"> </w:t>
      </w:r>
      <w:hyperlink r:id="rId8" w:history="1">
        <w:r w:rsidR="00B775ED" w:rsidRPr="00AE76A4">
          <w:rPr>
            <w:rStyle w:val="Hyperlink"/>
          </w:rPr>
          <w:t>www.dundrumvillageshd.ie</w:t>
        </w:r>
      </w:hyperlink>
      <w:r w:rsidR="00B775ED">
        <w:t xml:space="preserve"> </w:t>
      </w:r>
    </w:p>
    <w:p w14:paraId="4A21DBAF" w14:textId="77777777" w:rsidR="00E53289" w:rsidRPr="00133705" w:rsidRDefault="00E53289" w:rsidP="00E53289">
      <w:pPr>
        <w:pStyle w:val="ListParagraph"/>
        <w:spacing w:after="0"/>
        <w:ind w:left="426"/>
        <w:rPr>
          <w:rFonts w:eastAsia="Times New Roman"/>
        </w:rPr>
      </w:pPr>
    </w:p>
    <w:p w14:paraId="0FF59348" w14:textId="77777777" w:rsidR="00E53289" w:rsidRPr="00081159" w:rsidRDefault="00E53289" w:rsidP="00E53289">
      <w:pPr>
        <w:pStyle w:val="ListParagraph"/>
        <w:numPr>
          <w:ilvl w:val="0"/>
          <w:numId w:val="2"/>
        </w:numPr>
        <w:spacing w:after="0"/>
      </w:pPr>
      <w:r w:rsidRPr="00081159">
        <w:rPr>
          <w:rFonts w:eastAsia="Times New Roman"/>
        </w:rPr>
        <w:t>The planning application was valid</w:t>
      </w:r>
      <w:r>
        <w:rPr>
          <w:rFonts w:eastAsia="Times New Roman"/>
        </w:rPr>
        <w:t xml:space="preserve">. </w:t>
      </w:r>
    </w:p>
    <w:p w14:paraId="5B1FE84D" w14:textId="77777777" w:rsidR="00E53289" w:rsidRPr="00081159" w:rsidRDefault="00E53289" w:rsidP="00E53289">
      <w:pPr>
        <w:spacing w:after="0"/>
        <w:ind w:left="846"/>
        <w:rPr>
          <w:rFonts w:eastAsia="Times New Roman"/>
        </w:rPr>
      </w:pPr>
    </w:p>
    <w:p w14:paraId="721FC62F" w14:textId="7941C7B0" w:rsidR="00E53289" w:rsidRPr="00081159" w:rsidRDefault="00E53289" w:rsidP="00E53289">
      <w:pPr>
        <w:numPr>
          <w:ilvl w:val="0"/>
          <w:numId w:val="2"/>
        </w:numPr>
        <w:spacing w:after="0"/>
        <w:rPr>
          <w:rFonts w:eastAsia="Times New Roman"/>
        </w:rPr>
      </w:pPr>
      <w:r w:rsidRPr="00081159">
        <w:rPr>
          <w:rFonts w:eastAsia="Times New Roman"/>
        </w:rPr>
        <w:t>Pre-application consultations in accordance with section 5 of the Act of 2016 were held with under reference ABP</w:t>
      </w:r>
      <w:r w:rsidRPr="00081159">
        <w:rPr>
          <w:rFonts w:eastAsia="Times New Roman"/>
        </w:rPr>
        <w:noBreakHyphen/>
      </w:r>
      <w:r w:rsidR="003606DF">
        <w:rPr>
          <w:rFonts w:eastAsia="Times New Roman"/>
        </w:rPr>
        <w:t>311553</w:t>
      </w:r>
      <w:r w:rsidRPr="00081159">
        <w:rPr>
          <w:rFonts w:eastAsia="Times New Roman"/>
        </w:rPr>
        <w:t>-</w:t>
      </w:r>
      <w:r w:rsidR="003606DF">
        <w:rPr>
          <w:rFonts w:eastAsia="Times New Roman"/>
        </w:rPr>
        <w:t>21</w:t>
      </w:r>
      <w:r w:rsidRPr="00081159">
        <w:rPr>
          <w:rFonts w:eastAsia="Times New Roman"/>
        </w:rPr>
        <w:t>. ABP’s Opinion was that the documents submitted requires further consideration and amendment to constitute a reasonable basis for an application for strategic housing development</w:t>
      </w:r>
      <w:r>
        <w:rPr>
          <w:rFonts w:eastAsia="Times New Roman"/>
        </w:rPr>
        <w:t>.</w:t>
      </w:r>
    </w:p>
    <w:p w14:paraId="4802EEB6" w14:textId="77777777" w:rsidR="00E53289" w:rsidRPr="00081159" w:rsidRDefault="00E53289" w:rsidP="00E53289">
      <w:pPr>
        <w:spacing w:after="0"/>
        <w:rPr>
          <w:rFonts w:eastAsia="Times New Roman"/>
        </w:rPr>
      </w:pPr>
    </w:p>
    <w:p w14:paraId="338C9CDA" w14:textId="77777777" w:rsidR="00E53289" w:rsidRPr="00081159" w:rsidRDefault="00E53289" w:rsidP="00E53289">
      <w:pPr>
        <w:numPr>
          <w:ilvl w:val="0"/>
          <w:numId w:val="2"/>
        </w:numPr>
        <w:autoSpaceDE w:val="0"/>
        <w:spacing w:after="0"/>
        <w:rPr>
          <w:bCs/>
        </w:rPr>
      </w:pPr>
      <w:r w:rsidRPr="00081159">
        <w:rPr>
          <w:color w:val="000000"/>
        </w:rPr>
        <w:t xml:space="preserve">The planning application contains documents submitted in accordance with the Planning and Development (Housing) and Residential Tenancies Act 2016. </w:t>
      </w:r>
    </w:p>
    <w:p w14:paraId="346A1DC7" w14:textId="77777777" w:rsidR="00E53289" w:rsidRPr="00081159" w:rsidRDefault="00E53289" w:rsidP="00E53289">
      <w:pPr>
        <w:pStyle w:val="ListParagraph"/>
        <w:tabs>
          <w:tab w:val="left" w:pos="1215"/>
        </w:tabs>
        <w:spacing w:after="0"/>
        <w:rPr>
          <w:bCs/>
        </w:rPr>
      </w:pPr>
      <w:r w:rsidRPr="00081159">
        <w:rPr>
          <w:bCs/>
        </w:rPr>
        <w:tab/>
      </w:r>
    </w:p>
    <w:p w14:paraId="6605392D" w14:textId="18521D6C" w:rsidR="00E53289" w:rsidRPr="00081159" w:rsidRDefault="0031709D" w:rsidP="00E53289">
      <w:pPr>
        <w:pStyle w:val="ListParagraph"/>
        <w:numPr>
          <w:ilvl w:val="0"/>
          <w:numId w:val="2"/>
        </w:numPr>
        <w:suppressAutoHyphens w:val="0"/>
        <w:autoSpaceDE w:val="0"/>
        <w:adjustRightInd w:val="0"/>
        <w:spacing w:after="0"/>
        <w:textAlignment w:val="auto"/>
      </w:pPr>
      <w:r>
        <w:t xml:space="preserve">An Environmental Impact Assessment has been submitted in respect of </w:t>
      </w:r>
      <w:proofErr w:type="gramStart"/>
      <w:r>
        <w:t xml:space="preserve">the </w:t>
      </w:r>
      <w:r w:rsidR="00E53289">
        <w:t xml:space="preserve"> proposed</w:t>
      </w:r>
      <w:proofErr w:type="gramEnd"/>
      <w:r w:rsidR="00E53289">
        <w:t xml:space="preserve"> development</w:t>
      </w:r>
      <w:r>
        <w:t xml:space="preserve">. </w:t>
      </w:r>
      <w:r w:rsidR="00E53289" w:rsidRPr="00081159">
        <w:t xml:space="preserve"> </w:t>
      </w:r>
    </w:p>
    <w:p w14:paraId="716F640A" w14:textId="61787538" w:rsidR="00E53289" w:rsidRDefault="00E53289" w:rsidP="00E53289">
      <w:pPr>
        <w:pStyle w:val="ListParagraph"/>
        <w:spacing w:after="0"/>
      </w:pPr>
    </w:p>
    <w:p w14:paraId="6535CF97" w14:textId="77777777" w:rsidR="00E51136" w:rsidRPr="00081159" w:rsidRDefault="00E51136" w:rsidP="00E53289">
      <w:pPr>
        <w:pStyle w:val="ListParagraph"/>
        <w:spacing w:after="0"/>
      </w:pPr>
    </w:p>
    <w:p w14:paraId="66E03367" w14:textId="6387EDB7" w:rsidR="00E07B64" w:rsidRDefault="00E53289" w:rsidP="00E07B64">
      <w:pPr>
        <w:pStyle w:val="ListParagraph"/>
        <w:numPr>
          <w:ilvl w:val="0"/>
          <w:numId w:val="2"/>
        </w:numPr>
        <w:suppressAutoHyphens w:val="0"/>
        <w:autoSpaceDE w:val="0"/>
        <w:adjustRightInd w:val="0"/>
        <w:spacing w:after="0"/>
        <w:textAlignment w:val="auto"/>
      </w:pPr>
      <w:r>
        <w:lastRenderedPageBreak/>
        <w:t xml:space="preserve">The AA Screening Report </w:t>
      </w:r>
      <w:r w:rsidR="00E07B64">
        <w:t xml:space="preserve">and Natura Impact Statement </w:t>
      </w:r>
      <w:r>
        <w:t xml:space="preserve">concludes that </w:t>
      </w:r>
      <w:r w:rsidR="00B540BA">
        <w:t>n</w:t>
      </w:r>
      <w:r w:rsidR="00B540BA">
        <w:t>o significant effects are likely on Natura 2000 sites, their features of interest or conservation objectives. The proposed project will not will adversely affect the integrity of European sites</w:t>
      </w:r>
    </w:p>
    <w:p w14:paraId="7AE8C049" w14:textId="77777777" w:rsidR="00E53289" w:rsidRDefault="00E53289" w:rsidP="00E53289">
      <w:pPr>
        <w:pStyle w:val="ListParagraph"/>
      </w:pPr>
    </w:p>
    <w:tbl>
      <w:tblPr>
        <w:tblW w:w="10297" w:type="dxa"/>
        <w:tblInd w:w="-108" w:type="dxa"/>
        <w:tblBorders>
          <w:top w:val="nil"/>
          <w:left w:val="nil"/>
          <w:bottom w:val="nil"/>
          <w:right w:val="nil"/>
        </w:tblBorders>
        <w:tblLayout w:type="fixed"/>
        <w:tblLook w:val="0000" w:firstRow="0" w:lastRow="0" w:firstColumn="0" w:lastColumn="0" w:noHBand="0" w:noVBand="0"/>
      </w:tblPr>
      <w:tblGrid>
        <w:gridCol w:w="8816"/>
        <w:gridCol w:w="1481"/>
      </w:tblGrid>
      <w:tr w:rsidR="00E53289" w:rsidRPr="00081159" w14:paraId="0F3F2C32" w14:textId="77777777" w:rsidTr="00B47A1C">
        <w:trPr>
          <w:trHeight w:val="242"/>
        </w:trPr>
        <w:tc>
          <w:tcPr>
            <w:tcW w:w="10297" w:type="dxa"/>
            <w:gridSpan w:val="2"/>
          </w:tcPr>
          <w:p w14:paraId="4E25AB40" w14:textId="215C6876" w:rsidR="00E53289" w:rsidRDefault="00E53289" w:rsidP="00B47A1C">
            <w:pPr>
              <w:pStyle w:val="ListParagraph"/>
              <w:numPr>
                <w:ilvl w:val="0"/>
                <w:numId w:val="2"/>
              </w:numPr>
              <w:suppressAutoHyphens w:val="0"/>
              <w:autoSpaceDE w:val="0"/>
              <w:adjustRightInd w:val="0"/>
              <w:spacing w:after="0"/>
              <w:textAlignment w:val="auto"/>
              <w:rPr>
                <w:color w:val="000000"/>
              </w:rPr>
            </w:pPr>
            <w:r w:rsidRPr="000E57B6">
              <w:rPr>
                <w:color w:val="000000"/>
              </w:rPr>
              <w:t>The Material Contravention Statement can be permitted under the provisions of the Planning and Development (Housing) and Residential Tenancies Act 2016.</w:t>
            </w:r>
            <w:r>
              <w:rPr>
                <w:color w:val="000000"/>
              </w:rPr>
              <w:t xml:space="preserve"> </w:t>
            </w:r>
            <w:r w:rsidRPr="0020144E">
              <w:rPr>
                <w:b/>
                <w:color w:val="000000"/>
              </w:rPr>
              <w:t xml:space="preserve"> </w:t>
            </w:r>
          </w:p>
          <w:p w14:paraId="1627A479" w14:textId="77777777" w:rsidR="00E53289" w:rsidRPr="000E57B6" w:rsidRDefault="00E53289" w:rsidP="00B47A1C">
            <w:pPr>
              <w:pStyle w:val="ListParagraph"/>
              <w:suppressAutoHyphens w:val="0"/>
              <w:autoSpaceDE w:val="0"/>
              <w:adjustRightInd w:val="0"/>
              <w:spacing w:after="0"/>
              <w:ind w:left="426"/>
              <w:textAlignment w:val="auto"/>
              <w:rPr>
                <w:color w:val="000000"/>
              </w:rPr>
            </w:pPr>
          </w:p>
          <w:p w14:paraId="09DD70DB" w14:textId="47AF5237" w:rsidR="00E53289" w:rsidRPr="00081159" w:rsidRDefault="00E53289" w:rsidP="00B47A1C">
            <w:pPr>
              <w:pStyle w:val="ListParagraph"/>
              <w:numPr>
                <w:ilvl w:val="0"/>
                <w:numId w:val="2"/>
              </w:numPr>
              <w:suppressAutoHyphens w:val="0"/>
              <w:autoSpaceDE w:val="0"/>
              <w:adjustRightInd w:val="0"/>
              <w:spacing w:after="0"/>
              <w:textAlignment w:val="auto"/>
              <w:rPr>
                <w:color w:val="000000"/>
              </w:rPr>
            </w:pPr>
            <w:r>
              <w:t xml:space="preserve">A response was received from </w:t>
            </w:r>
            <w:r w:rsidRPr="00081159">
              <w:t>Irish Water</w:t>
            </w:r>
            <w:r w:rsidR="002A42A8">
              <w:t xml:space="preserve"> on 5</w:t>
            </w:r>
            <w:r w:rsidR="002A42A8" w:rsidRPr="002A42A8">
              <w:rPr>
                <w:vertAlign w:val="superscript"/>
              </w:rPr>
              <w:t>th</w:t>
            </w:r>
            <w:r w:rsidR="002A42A8">
              <w:t xml:space="preserve"> May 2022</w:t>
            </w:r>
            <w:r>
              <w:t xml:space="preserve"> which states</w:t>
            </w:r>
            <w:r w:rsidR="00E00C89">
              <w:t xml:space="preserve"> </w:t>
            </w:r>
            <w:r w:rsidR="00E00C89">
              <w:t>The applicant (including any designers/contractors or other related parties appointed by the applicant) is entirely responsible for the design and construction of all water and/or wastewater infrastructure within the Development redline boundary which is necessary to facilitate connection(s) from the boundary of the Development to Irish Water’s network(s) (the “Self-Lay Works”), as reflected in the applicants Design Submissio</w:t>
            </w:r>
            <w:r w:rsidR="00E00C89">
              <w:t>n.</w:t>
            </w:r>
            <w:r w:rsidRPr="0020144E">
              <w:rPr>
                <w:b/>
              </w:rPr>
              <w:t xml:space="preserve"> </w:t>
            </w:r>
          </w:p>
        </w:tc>
      </w:tr>
      <w:tr w:rsidR="00E53289" w:rsidRPr="00081159" w14:paraId="62DF06D7" w14:textId="77777777" w:rsidTr="00B47A1C">
        <w:trPr>
          <w:gridAfter w:val="1"/>
          <w:wAfter w:w="1481" w:type="dxa"/>
          <w:trHeight w:val="233"/>
        </w:trPr>
        <w:tc>
          <w:tcPr>
            <w:tcW w:w="8816" w:type="dxa"/>
          </w:tcPr>
          <w:p w14:paraId="058F3B35" w14:textId="77777777" w:rsidR="00E53289" w:rsidRPr="00081159" w:rsidRDefault="00E53289" w:rsidP="00B47A1C">
            <w:pPr>
              <w:suppressAutoHyphens w:val="0"/>
              <w:autoSpaceDE w:val="0"/>
              <w:adjustRightInd w:val="0"/>
              <w:spacing w:after="0"/>
              <w:textAlignment w:val="auto"/>
              <w:rPr>
                <w:color w:val="000000"/>
                <w:sz w:val="20"/>
                <w:szCs w:val="20"/>
              </w:rPr>
            </w:pPr>
          </w:p>
        </w:tc>
      </w:tr>
    </w:tbl>
    <w:p w14:paraId="211654DA" w14:textId="5CF70E19" w:rsidR="00E53289" w:rsidRPr="00081159" w:rsidRDefault="00E53289" w:rsidP="00E53289">
      <w:pPr>
        <w:pStyle w:val="ListParagraph"/>
        <w:numPr>
          <w:ilvl w:val="0"/>
          <w:numId w:val="2"/>
        </w:numPr>
        <w:spacing w:after="0"/>
      </w:pPr>
      <w:r w:rsidRPr="00081159">
        <w:rPr>
          <w:rFonts w:eastAsia="Times New Roman"/>
        </w:rPr>
        <w:t xml:space="preserve">The public notice was published in the </w:t>
      </w:r>
      <w:r w:rsidR="0024787C">
        <w:rPr>
          <w:rFonts w:eastAsia="Times New Roman"/>
        </w:rPr>
        <w:t>Irish Daily Star</w:t>
      </w:r>
      <w:r>
        <w:rPr>
          <w:rFonts w:eastAsia="Times New Roman"/>
        </w:rPr>
        <w:t xml:space="preserve"> </w:t>
      </w:r>
      <w:r w:rsidRPr="00081159">
        <w:rPr>
          <w:rFonts w:eastAsia="Times New Roman"/>
        </w:rPr>
        <w:t xml:space="preserve">newspaper dated </w:t>
      </w:r>
      <w:r w:rsidR="0024787C">
        <w:rPr>
          <w:rFonts w:eastAsia="Times New Roman"/>
        </w:rPr>
        <w:t>4</w:t>
      </w:r>
      <w:r w:rsidR="0024787C" w:rsidRPr="0024787C">
        <w:rPr>
          <w:rFonts w:eastAsia="Times New Roman"/>
          <w:vertAlign w:val="superscript"/>
        </w:rPr>
        <w:t>th</w:t>
      </w:r>
      <w:r w:rsidR="0024787C">
        <w:rPr>
          <w:rFonts w:eastAsia="Times New Roman"/>
        </w:rPr>
        <w:t xml:space="preserve"> April 2022</w:t>
      </w:r>
      <w:r w:rsidRPr="00081159">
        <w:rPr>
          <w:rFonts w:eastAsia="Times New Roman"/>
        </w:rPr>
        <w:t xml:space="preserve">. The site notice was erected on </w:t>
      </w:r>
      <w:r w:rsidR="00106BC2">
        <w:rPr>
          <w:rFonts w:eastAsia="Times New Roman"/>
        </w:rPr>
        <w:t>4</w:t>
      </w:r>
      <w:r w:rsidR="00106BC2" w:rsidRPr="00106BC2">
        <w:rPr>
          <w:rFonts w:eastAsia="Times New Roman"/>
          <w:vertAlign w:val="superscript"/>
        </w:rPr>
        <w:t>th</w:t>
      </w:r>
      <w:r w:rsidR="00106BC2">
        <w:rPr>
          <w:rFonts w:eastAsia="Times New Roman"/>
        </w:rPr>
        <w:t xml:space="preserve"> April 2022.</w:t>
      </w:r>
    </w:p>
    <w:p w14:paraId="70C1F480" w14:textId="77777777" w:rsidR="00E53289" w:rsidRPr="00081159" w:rsidRDefault="00E53289" w:rsidP="00E53289">
      <w:pPr>
        <w:pStyle w:val="ListParagraph"/>
        <w:spacing w:after="0"/>
      </w:pPr>
    </w:p>
    <w:p w14:paraId="5BCDD360" w14:textId="5C69C36C" w:rsidR="00E53289" w:rsidRDefault="00E53289" w:rsidP="00E53289">
      <w:pPr>
        <w:numPr>
          <w:ilvl w:val="0"/>
          <w:numId w:val="2"/>
        </w:numPr>
        <w:spacing w:after="0"/>
        <w:rPr>
          <w:rFonts w:eastAsia="Times New Roman"/>
          <w:lang w:val="en"/>
        </w:rPr>
      </w:pPr>
      <w:r w:rsidRPr="00081159">
        <w:rPr>
          <w:rFonts w:eastAsia="Times New Roman"/>
          <w:lang w:val="en"/>
        </w:rPr>
        <w:t xml:space="preserve">The prescribed bodies for the purposes of the application are set out in article 295 of the Planning and Development (Strategic Housing Development) Regulations 2017. The following bodies were circulated with the application documentation in accordance with the advice from ABP: </w:t>
      </w:r>
    </w:p>
    <w:p w14:paraId="679C4BEC" w14:textId="77777777" w:rsidR="00E51136" w:rsidRPr="00E51136" w:rsidRDefault="00E51136" w:rsidP="00E51136">
      <w:pPr>
        <w:pStyle w:val="ListParagraph"/>
        <w:rPr>
          <w:rFonts w:eastAsia="Times New Roman"/>
          <w:sz w:val="12"/>
          <w:szCs w:val="12"/>
          <w:lang w:val="en"/>
        </w:rPr>
      </w:pPr>
    </w:p>
    <w:tbl>
      <w:tblPr>
        <w:tblW w:w="7966" w:type="dxa"/>
        <w:tblInd w:w="-108" w:type="dxa"/>
        <w:tblLayout w:type="fixed"/>
        <w:tblCellMar>
          <w:left w:w="10" w:type="dxa"/>
          <w:right w:w="10" w:type="dxa"/>
        </w:tblCellMar>
        <w:tblLook w:val="0000" w:firstRow="0" w:lastRow="0" w:firstColumn="0" w:lastColumn="0" w:noHBand="0" w:noVBand="0"/>
      </w:tblPr>
      <w:tblGrid>
        <w:gridCol w:w="7966"/>
      </w:tblGrid>
      <w:tr w:rsidR="00E53289" w:rsidRPr="00081159" w14:paraId="46F33D8B" w14:textId="77777777" w:rsidTr="00B47A1C">
        <w:trPr>
          <w:trHeight w:val="130"/>
        </w:trPr>
        <w:tc>
          <w:tcPr>
            <w:tcW w:w="7966"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tbl>
            <w:tblPr>
              <w:tblW w:w="9207" w:type="dxa"/>
              <w:tblBorders>
                <w:top w:val="nil"/>
                <w:left w:val="nil"/>
                <w:bottom w:val="nil"/>
                <w:right w:val="nil"/>
              </w:tblBorders>
              <w:tblLayout w:type="fixed"/>
              <w:tblLook w:val="0000" w:firstRow="0" w:lastRow="0" w:firstColumn="0" w:lastColumn="0" w:noHBand="0" w:noVBand="0"/>
            </w:tblPr>
            <w:tblGrid>
              <w:gridCol w:w="9207"/>
            </w:tblGrid>
            <w:tr w:rsidR="00E53289" w:rsidRPr="00081159" w14:paraId="3511B5FC" w14:textId="77777777" w:rsidTr="00B47A1C">
              <w:trPr>
                <w:trHeight w:val="456"/>
              </w:trPr>
              <w:tc>
                <w:tcPr>
                  <w:tcW w:w="9207" w:type="dxa"/>
                </w:tcPr>
                <w:tbl>
                  <w:tblPr>
                    <w:tblW w:w="0" w:type="auto"/>
                    <w:tblInd w:w="42" w:type="dxa"/>
                    <w:tblBorders>
                      <w:top w:val="nil"/>
                      <w:left w:val="nil"/>
                      <w:bottom w:val="nil"/>
                      <w:right w:val="nil"/>
                    </w:tblBorders>
                    <w:tblLayout w:type="fixed"/>
                    <w:tblLook w:val="0000" w:firstRow="0" w:lastRow="0" w:firstColumn="0" w:lastColumn="0" w:noHBand="0" w:noVBand="0"/>
                  </w:tblPr>
                  <w:tblGrid>
                    <w:gridCol w:w="8636"/>
                  </w:tblGrid>
                  <w:tr w:rsidR="00E53289" w:rsidRPr="00081159" w14:paraId="6317ED03" w14:textId="77777777" w:rsidTr="00B47A1C">
                    <w:trPr>
                      <w:trHeight w:val="244"/>
                    </w:trPr>
                    <w:tc>
                      <w:tcPr>
                        <w:tcW w:w="8636" w:type="dxa"/>
                      </w:tcPr>
                      <w:tbl>
                        <w:tblPr>
                          <w:tblW w:w="0" w:type="auto"/>
                          <w:tblBorders>
                            <w:top w:val="nil"/>
                            <w:left w:val="nil"/>
                            <w:bottom w:val="nil"/>
                            <w:right w:val="nil"/>
                          </w:tblBorders>
                          <w:tblLayout w:type="fixed"/>
                          <w:tblLook w:val="0000" w:firstRow="0" w:lastRow="0" w:firstColumn="0" w:lastColumn="0" w:noHBand="0" w:noVBand="0"/>
                        </w:tblPr>
                        <w:tblGrid>
                          <w:gridCol w:w="8104"/>
                        </w:tblGrid>
                        <w:tr w:rsidR="00E53289" w:rsidRPr="00081159" w14:paraId="2BE944CE" w14:textId="77777777" w:rsidTr="00B47A1C">
                          <w:trPr>
                            <w:trHeight w:val="726"/>
                          </w:trPr>
                          <w:tc>
                            <w:tcPr>
                              <w:tcW w:w="8104" w:type="dxa"/>
                            </w:tcPr>
                            <w:tbl>
                              <w:tblPr>
                                <w:tblW w:w="9991" w:type="dxa"/>
                                <w:tblBorders>
                                  <w:top w:val="nil"/>
                                  <w:left w:val="nil"/>
                                  <w:bottom w:val="nil"/>
                                  <w:right w:val="nil"/>
                                </w:tblBorders>
                                <w:tblLayout w:type="fixed"/>
                                <w:tblLook w:val="0000" w:firstRow="0" w:lastRow="0" w:firstColumn="0" w:lastColumn="0" w:noHBand="0" w:noVBand="0"/>
                              </w:tblPr>
                              <w:tblGrid>
                                <w:gridCol w:w="9991"/>
                              </w:tblGrid>
                              <w:tr w:rsidR="00E53289" w:rsidRPr="00081159" w14:paraId="7B070819" w14:textId="77777777" w:rsidTr="00B47A1C">
                                <w:trPr>
                                  <w:trHeight w:val="194"/>
                                </w:trPr>
                                <w:tc>
                                  <w:tcPr>
                                    <w:tcW w:w="9991" w:type="dxa"/>
                                  </w:tcPr>
                                  <w:tbl>
                                    <w:tblPr>
                                      <w:tblW w:w="14691" w:type="dxa"/>
                                      <w:tblBorders>
                                        <w:top w:val="nil"/>
                                        <w:left w:val="nil"/>
                                        <w:bottom w:val="nil"/>
                                        <w:right w:val="nil"/>
                                      </w:tblBorders>
                                      <w:tblLayout w:type="fixed"/>
                                      <w:tblLook w:val="0000" w:firstRow="0" w:lastRow="0" w:firstColumn="0" w:lastColumn="0" w:noHBand="0" w:noVBand="0"/>
                                    </w:tblPr>
                                    <w:tblGrid>
                                      <w:gridCol w:w="14691"/>
                                    </w:tblGrid>
                                    <w:tr w:rsidR="00E53289" w:rsidRPr="00081159" w14:paraId="25D9CAF2" w14:textId="77777777" w:rsidTr="00B47A1C">
                                      <w:trPr>
                                        <w:trHeight w:val="409"/>
                                      </w:trPr>
                                      <w:tc>
                                        <w:tcPr>
                                          <w:tcW w:w="14691" w:type="dxa"/>
                                        </w:tcPr>
                                        <w:p w14:paraId="13CDD046" w14:textId="5474012A" w:rsidR="007D4BA6" w:rsidRPr="007D4BA6" w:rsidRDefault="007D4BA6" w:rsidP="007D4BA6">
                                          <w:pPr>
                                            <w:pStyle w:val="ListParagraph"/>
                                            <w:numPr>
                                              <w:ilvl w:val="0"/>
                                              <w:numId w:val="3"/>
                                            </w:numPr>
                                            <w:suppressAutoHyphens w:val="0"/>
                                            <w:autoSpaceDE w:val="0"/>
                                            <w:adjustRightInd w:val="0"/>
                                            <w:spacing w:after="0"/>
                                            <w:textAlignment w:val="auto"/>
                                            <w:rPr>
                                              <w:b/>
                                            </w:rPr>
                                          </w:pPr>
                                          <w:r w:rsidRPr="007D4BA6">
                                            <w:rPr>
                                              <w:b/>
                                            </w:rPr>
                                            <w:t xml:space="preserve">Transport Infrastructure Ireland (TII) </w:t>
                                          </w:r>
                                        </w:p>
                                        <w:p w14:paraId="59BBBAE9" w14:textId="745D5644" w:rsidR="007D4BA6" w:rsidRPr="007D4BA6" w:rsidRDefault="007D4BA6" w:rsidP="007D4BA6">
                                          <w:pPr>
                                            <w:pStyle w:val="ListParagraph"/>
                                            <w:numPr>
                                              <w:ilvl w:val="0"/>
                                              <w:numId w:val="3"/>
                                            </w:numPr>
                                            <w:suppressAutoHyphens w:val="0"/>
                                            <w:autoSpaceDE w:val="0"/>
                                            <w:adjustRightInd w:val="0"/>
                                            <w:spacing w:after="0"/>
                                            <w:textAlignment w:val="auto"/>
                                            <w:rPr>
                                              <w:b/>
                                            </w:rPr>
                                          </w:pPr>
                                          <w:r w:rsidRPr="007D4BA6">
                                            <w:rPr>
                                              <w:b/>
                                            </w:rPr>
                                            <w:t xml:space="preserve">National Transport Authority (NTA) </w:t>
                                          </w:r>
                                        </w:p>
                                        <w:p w14:paraId="11FE604D" w14:textId="4D942D4E" w:rsidR="007D4BA6" w:rsidRPr="007D4BA6" w:rsidRDefault="007D4BA6" w:rsidP="007D4BA6">
                                          <w:pPr>
                                            <w:pStyle w:val="ListParagraph"/>
                                            <w:numPr>
                                              <w:ilvl w:val="0"/>
                                              <w:numId w:val="3"/>
                                            </w:numPr>
                                            <w:suppressAutoHyphens w:val="0"/>
                                            <w:autoSpaceDE w:val="0"/>
                                            <w:adjustRightInd w:val="0"/>
                                            <w:spacing w:after="0"/>
                                            <w:textAlignment w:val="auto"/>
                                            <w:rPr>
                                              <w:b/>
                                            </w:rPr>
                                          </w:pPr>
                                          <w:r w:rsidRPr="007D4BA6">
                                            <w:rPr>
                                              <w:b/>
                                            </w:rPr>
                                            <w:t xml:space="preserve">Irish Water </w:t>
                                          </w:r>
                                        </w:p>
                                        <w:p w14:paraId="66C133C6" w14:textId="1EC70F4C" w:rsidR="007D4BA6" w:rsidRPr="007D4BA6" w:rsidRDefault="007D4BA6" w:rsidP="007D4BA6">
                                          <w:pPr>
                                            <w:pStyle w:val="ListParagraph"/>
                                            <w:numPr>
                                              <w:ilvl w:val="0"/>
                                              <w:numId w:val="3"/>
                                            </w:numPr>
                                            <w:suppressAutoHyphens w:val="0"/>
                                            <w:autoSpaceDE w:val="0"/>
                                            <w:adjustRightInd w:val="0"/>
                                            <w:spacing w:after="0"/>
                                            <w:textAlignment w:val="auto"/>
                                            <w:rPr>
                                              <w:b/>
                                            </w:rPr>
                                          </w:pPr>
                                          <w:r w:rsidRPr="007D4BA6">
                                            <w:rPr>
                                              <w:b/>
                                            </w:rPr>
                                            <w:t xml:space="preserve">Department of Culture Heritage and the Gaeltacht </w:t>
                                          </w:r>
                                        </w:p>
                                        <w:p w14:paraId="1CEC2FEA" w14:textId="1051AA78" w:rsidR="007D4BA6" w:rsidRPr="007D4BA6" w:rsidRDefault="007D4BA6" w:rsidP="007D4BA6">
                                          <w:pPr>
                                            <w:pStyle w:val="ListParagraph"/>
                                            <w:numPr>
                                              <w:ilvl w:val="0"/>
                                              <w:numId w:val="3"/>
                                            </w:numPr>
                                            <w:suppressAutoHyphens w:val="0"/>
                                            <w:autoSpaceDE w:val="0"/>
                                            <w:adjustRightInd w:val="0"/>
                                            <w:spacing w:after="0"/>
                                            <w:textAlignment w:val="auto"/>
                                            <w:rPr>
                                              <w:b/>
                                            </w:rPr>
                                          </w:pPr>
                                          <w:r w:rsidRPr="007D4BA6">
                                            <w:rPr>
                                              <w:b/>
                                            </w:rPr>
                                            <w:t xml:space="preserve">An Taisce </w:t>
                                          </w:r>
                                        </w:p>
                                        <w:p w14:paraId="2BF6D696" w14:textId="5B18FE88" w:rsidR="007D4BA6" w:rsidRPr="007D4BA6" w:rsidRDefault="007D4BA6" w:rsidP="007D4BA6">
                                          <w:pPr>
                                            <w:pStyle w:val="ListParagraph"/>
                                            <w:numPr>
                                              <w:ilvl w:val="0"/>
                                              <w:numId w:val="3"/>
                                            </w:numPr>
                                            <w:suppressAutoHyphens w:val="0"/>
                                            <w:autoSpaceDE w:val="0"/>
                                            <w:adjustRightInd w:val="0"/>
                                            <w:spacing w:after="0"/>
                                            <w:textAlignment w:val="auto"/>
                                            <w:rPr>
                                              <w:b/>
                                            </w:rPr>
                                          </w:pPr>
                                          <w:r w:rsidRPr="007D4BA6">
                                            <w:rPr>
                                              <w:b/>
                                            </w:rPr>
                                            <w:t xml:space="preserve">Heritage Council </w:t>
                                          </w:r>
                                        </w:p>
                                        <w:p w14:paraId="37930345" w14:textId="174A93A7" w:rsidR="007D4BA6" w:rsidRPr="007D4BA6" w:rsidRDefault="007D4BA6" w:rsidP="007D4BA6">
                                          <w:pPr>
                                            <w:pStyle w:val="ListParagraph"/>
                                            <w:numPr>
                                              <w:ilvl w:val="0"/>
                                              <w:numId w:val="3"/>
                                            </w:numPr>
                                            <w:suppressAutoHyphens w:val="0"/>
                                            <w:autoSpaceDE w:val="0"/>
                                            <w:adjustRightInd w:val="0"/>
                                            <w:spacing w:after="0"/>
                                            <w:textAlignment w:val="auto"/>
                                            <w:rPr>
                                              <w:b/>
                                            </w:rPr>
                                          </w:pPr>
                                          <w:r w:rsidRPr="007D4BA6">
                                            <w:rPr>
                                              <w:b/>
                                            </w:rPr>
                                            <w:t xml:space="preserve">Fáilte Ireland </w:t>
                                          </w:r>
                                        </w:p>
                                        <w:p w14:paraId="1DF1528C" w14:textId="6B79BD73" w:rsidR="007D4BA6" w:rsidRPr="007D4BA6" w:rsidRDefault="007D4BA6" w:rsidP="007D4BA6">
                                          <w:pPr>
                                            <w:pStyle w:val="ListParagraph"/>
                                            <w:numPr>
                                              <w:ilvl w:val="0"/>
                                              <w:numId w:val="3"/>
                                            </w:numPr>
                                            <w:suppressAutoHyphens w:val="0"/>
                                            <w:autoSpaceDE w:val="0"/>
                                            <w:adjustRightInd w:val="0"/>
                                            <w:spacing w:after="0"/>
                                            <w:textAlignment w:val="auto"/>
                                            <w:rPr>
                                              <w:b/>
                                            </w:rPr>
                                          </w:pPr>
                                          <w:r w:rsidRPr="007D4BA6">
                                            <w:rPr>
                                              <w:b/>
                                            </w:rPr>
                                            <w:t xml:space="preserve">An </w:t>
                                          </w:r>
                                          <w:proofErr w:type="spellStart"/>
                                          <w:r w:rsidRPr="007D4BA6">
                                            <w:rPr>
                                              <w:b/>
                                            </w:rPr>
                                            <w:t>Chomhairle</w:t>
                                          </w:r>
                                          <w:proofErr w:type="spellEnd"/>
                                          <w:r w:rsidRPr="007D4BA6">
                                            <w:rPr>
                                              <w:b/>
                                            </w:rPr>
                                            <w:t xml:space="preserve"> </w:t>
                                          </w:r>
                                          <w:proofErr w:type="spellStart"/>
                                          <w:r w:rsidRPr="007D4BA6">
                                            <w:rPr>
                                              <w:b/>
                                            </w:rPr>
                                            <w:t>Ealaionn</w:t>
                                          </w:r>
                                          <w:proofErr w:type="spellEnd"/>
                                          <w:r w:rsidRPr="007D4BA6">
                                            <w:rPr>
                                              <w:b/>
                                            </w:rPr>
                                            <w:t xml:space="preserve"> </w:t>
                                          </w:r>
                                        </w:p>
                                        <w:p w14:paraId="4DF88E97" w14:textId="59814F57" w:rsidR="007D4BA6" w:rsidRPr="007D4BA6" w:rsidRDefault="007D4BA6" w:rsidP="007D4BA6">
                                          <w:pPr>
                                            <w:pStyle w:val="ListParagraph"/>
                                            <w:numPr>
                                              <w:ilvl w:val="0"/>
                                              <w:numId w:val="3"/>
                                            </w:numPr>
                                            <w:suppressAutoHyphens w:val="0"/>
                                            <w:autoSpaceDE w:val="0"/>
                                            <w:adjustRightInd w:val="0"/>
                                            <w:spacing w:after="0"/>
                                            <w:textAlignment w:val="auto"/>
                                            <w:rPr>
                                              <w:b/>
                                            </w:rPr>
                                          </w:pPr>
                                          <w:r w:rsidRPr="007D4BA6">
                                            <w:rPr>
                                              <w:b/>
                                            </w:rPr>
                                            <w:t xml:space="preserve">Irish Aviation Authority </w:t>
                                          </w:r>
                                        </w:p>
                                        <w:p w14:paraId="30EFE4DD" w14:textId="7E2BBABD" w:rsidR="007D4BA6" w:rsidRPr="007D4BA6" w:rsidRDefault="007D4BA6" w:rsidP="007D4BA6">
                                          <w:pPr>
                                            <w:numPr>
                                              <w:ilvl w:val="0"/>
                                              <w:numId w:val="3"/>
                                            </w:numPr>
                                            <w:suppressAutoHyphens w:val="0"/>
                                            <w:autoSpaceDE w:val="0"/>
                                            <w:adjustRightInd w:val="0"/>
                                            <w:spacing w:after="0"/>
                                            <w:textAlignment w:val="auto"/>
                                          </w:pPr>
                                          <w:r w:rsidRPr="007D4BA6">
                                            <w:rPr>
                                              <w:b/>
                                            </w:rPr>
                                            <w:t xml:space="preserve">Dun Laoghaire </w:t>
                                          </w:r>
                                          <w:proofErr w:type="spellStart"/>
                                          <w:r w:rsidRPr="007D4BA6">
                                            <w:rPr>
                                              <w:b/>
                                            </w:rPr>
                                            <w:t>Rathdown</w:t>
                                          </w:r>
                                          <w:proofErr w:type="spellEnd"/>
                                          <w:r w:rsidRPr="007D4BA6">
                                            <w:rPr>
                                              <w:b/>
                                            </w:rPr>
                                            <w:t xml:space="preserve"> County Childcare Committee. </w:t>
                                          </w:r>
                                        </w:p>
                                        <w:p w14:paraId="4479D2F1" w14:textId="77777777" w:rsidR="00E51136" w:rsidRDefault="00E51136" w:rsidP="007D4BA6">
                                          <w:pPr>
                                            <w:suppressAutoHyphens w:val="0"/>
                                            <w:autoSpaceDE w:val="0"/>
                                            <w:adjustRightInd w:val="0"/>
                                            <w:spacing w:after="0"/>
                                            <w:ind w:left="360"/>
                                            <w:textAlignment w:val="auto"/>
                                          </w:pPr>
                                        </w:p>
                                        <w:p w14:paraId="77C39937" w14:textId="5C3DA899" w:rsidR="00E53289" w:rsidRPr="00081159" w:rsidRDefault="00E53289" w:rsidP="007D4BA6">
                                          <w:pPr>
                                            <w:suppressAutoHyphens w:val="0"/>
                                            <w:autoSpaceDE w:val="0"/>
                                            <w:adjustRightInd w:val="0"/>
                                            <w:spacing w:after="0"/>
                                            <w:ind w:left="360"/>
                                            <w:textAlignment w:val="auto"/>
                                          </w:pPr>
                                          <w:r>
                                            <w:t>Copies of the letters have been submitted.</w:t>
                                          </w:r>
                                        </w:p>
                                      </w:tc>
                                    </w:tr>
                                  </w:tbl>
                                  <w:p w14:paraId="2F4B68FA" w14:textId="77777777" w:rsidR="00E53289" w:rsidRPr="00081159" w:rsidRDefault="00E53289" w:rsidP="00B47A1C">
                                    <w:pPr>
                                      <w:pStyle w:val="ListParagraph"/>
                                      <w:suppressAutoHyphens w:val="0"/>
                                      <w:autoSpaceDE w:val="0"/>
                                      <w:adjustRightInd w:val="0"/>
                                      <w:spacing w:after="0"/>
                                      <w:ind w:left="1080"/>
                                      <w:textAlignment w:val="auto"/>
                                      <w:rPr>
                                        <w:sz w:val="23"/>
                                        <w:szCs w:val="23"/>
                                      </w:rPr>
                                    </w:pPr>
                                  </w:p>
                                </w:tc>
                              </w:tr>
                            </w:tbl>
                            <w:p w14:paraId="57CE99A5" w14:textId="77777777" w:rsidR="00E53289" w:rsidRPr="00081159" w:rsidRDefault="00E53289" w:rsidP="00B47A1C">
                              <w:pPr>
                                <w:pStyle w:val="ListParagraph"/>
                                <w:suppressAutoHyphens w:val="0"/>
                                <w:autoSpaceDE w:val="0"/>
                                <w:adjustRightInd w:val="0"/>
                                <w:spacing w:after="0"/>
                                <w:ind w:left="1080"/>
                                <w:textAlignment w:val="auto"/>
                                <w:rPr>
                                  <w:color w:val="000000"/>
                                  <w:sz w:val="23"/>
                                  <w:szCs w:val="23"/>
                                </w:rPr>
                              </w:pPr>
                            </w:p>
                          </w:tc>
                        </w:tr>
                      </w:tbl>
                      <w:p w14:paraId="2F0161F6" w14:textId="77777777" w:rsidR="00E53289" w:rsidRPr="00081159" w:rsidRDefault="00E53289" w:rsidP="00B47A1C">
                        <w:pPr>
                          <w:suppressAutoHyphens w:val="0"/>
                          <w:autoSpaceDE w:val="0"/>
                          <w:adjustRightInd w:val="0"/>
                          <w:spacing w:after="0"/>
                          <w:ind w:left="1440"/>
                          <w:textAlignment w:val="auto"/>
                          <w:rPr>
                            <w:color w:val="000000"/>
                          </w:rPr>
                        </w:pPr>
                      </w:p>
                    </w:tc>
                  </w:tr>
                </w:tbl>
                <w:p w14:paraId="27EC7358" w14:textId="77777777" w:rsidR="00E53289" w:rsidRPr="00081159" w:rsidRDefault="00E53289" w:rsidP="00B47A1C">
                  <w:pPr>
                    <w:suppressAutoHyphens w:val="0"/>
                    <w:autoSpaceDE w:val="0"/>
                    <w:adjustRightInd w:val="0"/>
                    <w:spacing w:after="0"/>
                    <w:ind w:left="2520"/>
                    <w:textAlignment w:val="auto"/>
                    <w:rPr>
                      <w:color w:val="000000"/>
                      <w:sz w:val="23"/>
                      <w:szCs w:val="23"/>
                    </w:rPr>
                  </w:pPr>
                </w:p>
              </w:tc>
            </w:tr>
          </w:tbl>
          <w:p w14:paraId="037F552C" w14:textId="77777777" w:rsidR="00E53289" w:rsidRPr="00081159" w:rsidRDefault="00E53289" w:rsidP="00B47A1C">
            <w:pPr>
              <w:suppressAutoHyphens w:val="0"/>
              <w:autoSpaceDN/>
              <w:spacing w:after="0"/>
              <w:contextualSpacing/>
              <w:textAlignment w:val="auto"/>
            </w:pPr>
          </w:p>
        </w:tc>
      </w:tr>
    </w:tbl>
    <w:p w14:paraId="7C8CDF0D" w14:textId="77777777" w:rsidR="00E53289" w:rsidRPr="00081159" w:rsidRDefault="00E53289" w:rsidP="00E53289">
      <w:pPr>
        <w:spacing w:after="0"/>
        <w:rPr>
          <w:rFonts w:eastAsia="Times New Roman"/>
          <w:lang w:val="en"/>
        </w:rPr>
      </w:pPr>
    </w:p>
    <w:p w14:paraId="4355E298" w14:textId="4718B948" w:rsidR="00E53289" w:rsidRPr="00081159" w:rsidRDefault="00E53289" w:rsidP="00E53289">
      <w:pPr>
        <w:numPr>
          <w:ilvl w:val="0"/>
          <w:numId w:val="2"/>
        </w:numPr>
        <w:spacing w:after="0"/>
      </w:pPr>
      <w:r w:rsidRPr="00E96D95">
        <w:rPr>
          <w:rFonts w:eastAsia="Times New Roman"/>
        </w:rPr>
        <w:t xml:space="preserve">Submissions may be made for a period of five weeks from the date of receipt of the application by ABP, </w:t>
      </w:r>
      <w:r>
        <w:rPr>
          <w:rFonts w:eastAsia="Times New Roman"/>
        </w:rPr>
        <w:t xml:space="preserve">as the application was received on </w:t>
      </w:r>
      <w:r w:rsidR="007806EB">
        <w:rPr>
          <w:rFonts w:eastAsia="Times New Roman"/>
        </w:rPr>
        <w:t>5</w:t>
      </w:r>
      <w:r w:rsidR="007806EB" w:rsidRPr="007806EB">
        <w:rPr>
          <w:rFonts w:eastAsia="Times New Roman"/>
          <w:vertAlign w:val="superscript"/>
        </w:rPr>
        <w:t>th</w:t>
      </w:r>
      <w:r w:rsidR="007806EB">
        <w:rPr>
          <w:rFonts w:eastAsia="Times New Roman"/>
        </w:rPr>
        <w:t xml:space="preserve"> April 2022</w:t>
      </w:r>
      <w:r>
        <w:rPr>
          <w:rFonts w:eastAsia="Times New Roman"/>
        </w:rPr>
        <w:t xml:space="preserve">, the last day for submissions </w:t>
      </w:r>
      <w:r w:rsidRPr="0020144E">
        <w:rPr>
          <w:rFonts w:eastAsia="Times New Roman"/>
          <w:b/>
        </w:rPr>
        <w:t>was</w:t>
      </w:r>
      <w:r w:rsidR="00B00712">
        <w:rPr>
          <w:rFonts w:eastAsia="Times New Roman"/>
          <w:b/>
        </w:rPr>
        <w:t xml:space="preserve"> 9</w:t>
      </w:r>
      <w:r w:rsidR="00B00712" w:rsidRPr="00B00712">
        <w:rPr>
          <w:rFonts w:eastAsia="Times New Roman"/>
          <w:b/>
          <w:vertAlign w:val="superscript"/>
        </w:rPr>
        <w:t>th</w:t>
      </w:r>
      <w:r w:rsidR="00B00712">
        <w:rPr>
          <w:rFonts w:eastAsia="Times New Roman"/>
          <w:b/>
        </w:rPr>
        <w:t xml:space="preserve"> May 2022</w:t>
      </w:r>
      <w:r>
        <w:rPr>
          <w:rFonts w:eastAsia="Times New Roman"/>
        </w:rPr>
        <w:t xml:space="preserve">. </w:t>
      </w:r>
      <w:r w:rsidR="007F7DBE">
        <w:rPr>
          <w:rFonts w:eastAsia="Times New Roman"/>
        </w:rPr>
        <w:t>704</w:t>
      </w:r>
      <w:r>
        <w:rPr>
          <w:rFonts w:eastAsia="Times New Roman"/>
        </w:rPr>
        <w:t xml:space="preserve"> submissions have been received.</w:t>
      </w:r>
    </w:p>
    <w:p w14:paraId="50E2B836" w14:textId="77777777" w:rsidR="00E53289" w:rsidRPr="00081159" w:rsidRDefault="00E53289" w:rsidP="00E53289">
      <w:pPr>
        <w:spacing w:after="0"/>
        <w:ind w:left="426"/>
      </w:pPr>
    </w:p>
    <w:p w14:paraId="24C1C50A" w14:textId="58A1A13A" w:rsidR="00E53289" w:rsidRPr="00081159" w:rsidRDefault="00E53289" w:rsidP="00E53289">
      <w:pPr>
        <w:numPr>
          <w:ilvl w:val="0"/>
          <w:numId w:val="2"/>
        </w:numPr>
        <w:spacing w:after="0"/>
      </w:pPr>
      <w:r w:rsidRPr="00081159">
        <w:rPr>
          <w:rFonts w:eastAsia="Times New Roman"/>
        </w:rPr>
        <w:lastRenderedPageBreak/>
        <w:t xml:space="preserve">The Chief Executives report of </w:t>
      </w:r>
      <w:r w:rsidR="007F7DBE">
        <w:rPr>
          <w:rFonts w:eastAsia="Times New Roman"/>
        </w:rPr>
        <w:t xml:space="preserve">Dun Laoghaire </w:t>
      </w:r>
      <w:proofErr w:type="spellStart"/>
      <w:r w:rsidR="007F7DBE">
        <w:rPr>
          <w:rFonts w:eastAsia="Times New Roman"/>
        </w:rPr>
        <w:t>Rathdown</w:t>
      </w:r>
      <w:proofErr w:type="spellEnd"/>
      <w:r>
        <w:rPr>
          <w:rFonts w:eastAsia="Times New Roman"/>
        </w:rPr>
        <w:t xml:space="preserve"> County</w:t>
      </w:r>
      <w:r w:rsidRPr="00CD6A02">
        <w:rPr>
          <w:rFonts w:eastAsia="Times New Roman"/>
        </w:rPr>
        <w:t xml:space="preserve"> Council</w:t>
      </w:r>
      <w:r>
        <w:rPr>
          <w:rFonts w:eastAsia="Times New Roman"/>
          <w:b/>
        </w:rPr>
        <w:t xml:space="preserve"> </w:t>
      </w:r>
      <w:r w:rsidR="007F7DBE">
        <w:rPr>
          <w:rFonts w:eastAsia="Times New Roman"/>
        </w:rPr>
        <w:t>was</w:t>
      </w:r>
      <w:r w:rsidRPr="00722AD7">
        <w:rPr>
          <w:rFonts w:eastAsia="Times New Roman"/>
        </w:rPr>
        <w:t xml:space="preserve"> due </w:t>
      </w:r>
      <w:r w:rsidRPr="00081159">
        <w:rPr>
          <w:rFonts w:eastAsia="Times New Roman"/>
        </w:rPr>
        <w:t xml:space="preserve">on </w:t>
      </w:r>
      <w:r w:rsidR="007F7DBE">
        <w:rPr>
          <w:rFonts w:eastAsia="Times New Roman"/>
        </w:rPr>
        <w:t>30</w:t>
      </w:r>
      <w:r w:rsidR="007F7DBE" w:rsidRPr="007F7DBE">
        <w:rPr>
          <w:rFonts w:eastAsia="Times New Roman"/>
          <w:vertAlign w:val="superscript"/>
        </w:rPr>
        <w:t>th</w:t>
      </w:r>
      <w:r w:rsidR="007F7DBE">
        <w:rPr>
          <w:rFonts w:eastAsia="Times New Roman"/>
        </w:rPr>
        <w:t xml:space="preserve"> May 2022, an extension was </w:t>
      </w:r>
      <w:r w:rsidR="009321E7">
        <w:rPr>
          <w:rFonts w:eastAsia="Times New Roman"/>
        </w:rPr>
        <w:t>granted, and the report was received 10</w:t>
      </w:r>
      <w:r w:rsidR="009321E7" w:rsidRPr="009321E7">
        <w:rPr>
          <w:rFonts w:eastAsia="Times New Roman"/>
          <w:vertAlign w:val="superscript"/>
        </w:rPr>
        <w:t>th</w:t>
      </w:r>
      <w:r w:rsidR="009321E7">
        <w:rPr>
          <w:rFonts w:eastAsia="Times New Roman"/>
        </w:rPr>
        <w:t xml:space="preserve"> June 2022</w:t>
      </w:r>
      <w:r>
        <w:rPr>
          <w:rFonts w:eastAsia="Times New Roman"/>
        </w:rPr>
        <w:t>.</w:t>
      </w:r>
      <w:r w:rsidRPr="00081159">
        <w:rPr>
          <w:rFonts w:eastAsia="Times New Roman"/>
        </w:rPr>
        <w:t xml:space="preserve">  </w:t>
      </w:r>
    </w:p>
    <w:p w14:paraId="38B0C6CF" w14:textId="0722D712" w:rsidR="00E53289" w:rsidRPr="00E51136" w:rsidRDefault="00E53289" w:rsidP="00E53289">
      <w:pPr>
        <w:pStyle w:val="ListParagraph"/>
        <w:spacing w:after="0"/>
        <w:rPr>
          <w:sz w:val="12"/>
          <w:szCs w:val="12"/>
        </w:rPr>
      </w:pPr>
    </w:p>
    <w:p w14:paraId="3FA4572D" w14:textId="77777777" w:rsidR="009321E7" w:rsidRPr="00081159" w:rsidRDefault="009321E7" w:rsidP="00E53289">
      <w:pPr>
        <w:pStyle w:val="ListParagraph"/>
        <w:spacing w:after="0"/>
      </w:pPr>
    </w:p>
    <w:p w14:paraId="70C7B32F" w14:textId="77777777" w:rsidR="00E53289" w:rsidRPr="00081159" w:rsidRDefault="00E53289" w:rsidP="00E53289">
      <w:pPr>
        <w:pStyle w:val="ListParagraph"/>
        <w:numPr>
          <w:ilvl w:val="0"/>
          <w:numId w:val="2"/>
        </w:numPr>
        <w:spacing w:after="0"/>
        <w:rPr>
          <w:rFonts w:eastAsia="Times New Roman"/>
        </w:rPr>
      </w:pPr>
      <w:r w:rsidRPr="00081159">
        <w:rPr>
          <w:rFonts w:eastAsia="Times New Roman"/>
        </w:rPr>
        <w:t xml:space="preserve">Site history identified by the applicant: </w:t>
      </w:r>
    </w:p>
    <w:tbl>
      <w:tblPr>
        <w:tblStyle w:val="TableGrid"/>
        <w:tblW w:w="0" w:type="auto"/>
        <w:tblLook w:val="04A0" w:firstRow="1" w:lastRow="0" w:firstColumn="1" w:lastColumn="0" w:noHBand="0" w:noVBand="1"/>
      </w:tblPr>
      <w:tblGrid>
        <w:gridCol w:w="2122"/>
        <w:gridCol w:w="5386"/>
        <w:gridCol w:w="1508"/>
      </w:tblGrid>
      <w:tr w:rsidR="00B5169E" w14:paraId="43990290" w14:textId="77777777" w:rsidTr="00E51136">
        <w:tc>
          <w:tcPr>
            <w:tcW w:w="2122" w:type="dxa"/>
          </w:tcPr>
          <w:p w14:paraId="41C595C4" w14:textId="56A0ADD9" w:rsidR="00B5169E" w:rsidRPr="00C245B4" w:rsidRDefault="00B5169E" w:rsidP="00B5169E">
            <w:pPr>
              <w:jc w:val="both"/>
              <w:rPr>
                <w:rFonts w:eastAsia="Times New Roman"/>
                <w:b/>
                <w:bCs/>
              </w:rPr>
            </w:pPr>
            <w:r w:rsidRPr="00C245B4">
              <w:rPr>
                <w:rFonts w:eastAsia="Times New Roman"/>
                <w:b/>
                <w:bCs/>
              </w:rPr>
              <w:t>Reference Number</w:t>
            </w:r>
          </w:p>
        </w:tc>
        <w:tc>
          <w:tcPr>
            <w:tcW w:w="5386" w:type="dxa"/>
          </w:tcPr>
          <w:p w14:paraId="540F60DC" w14:textId="40ADC657" w:rsidR="00B5169E" w:rsidRPr="00C245B4" w:rsidRDefault="00C245B4" w:rsidP="00B5169E">
            <w:pPr>
              <w:jc w:val="both"/>
              <w:rPr>
                <w:rFonts w:eastAsia="Times New Roman"/>
                <w:b/>
                <w:bCs/>
              </w:rPr>
            </w:pPr>
            <w:r w:rsidRPr="00C245B4">
              <w:rPr>
                <w:rFonts w:eastAsia="Times New Roman"/>
                <w:b/>
                <w:bCs/>
              </w:rPr>
              <w:t xml:space="preserve">Development Description </w:t>
            </w:r>
          </w:p>
        </w:tc>
        <w:tc>
          <w:tcPr>
            <w:tcW w:w="1508" w:type="dxa"/>
          </w:tcPr>
          <w:p w14:paraId="6D03BDE6" w14:textId="6BAFF2D7" w:rsidR="00B5169E" w:rsidRPr="00C245B4" w:rsidRDefault="00C245B4" w:rsidP="00B5169E">
            <w:pPr>
              <w:jc w:val="both"/>
              <w:rPr>
                <w:rFonts w:eastAsia="Times New Roman"/>
                <w:b/>
                <w:bCs/>
              </w:rPr>
            </w:pPr>
            <w:r w:rsidRPr="00C245B4">
              <w:rPr>
                <w:rFonts w:eastAsia="Times New Roman"/>
                <w:b/>
                <w:bCs/>
              </w:rPr>
              <w:t xml:space="preserve">Final Decision </w:t>
            </w:r>
          </w:p>
        </w:tc>
      </w:tr>
      <w:tr w:rsidR="00B5169E" w14:paraId="26931161" w14:textId="77777777" w:rsidTr="00E51136">
        <w:tc>
          <w:tcPr>
            <w:tcW w:w="2122" w:type="dxa"/>
          </w:tcPr>
          <w:p w14:paraId="60041844" w14:textId="1C757E35" w:rsidR="00B5169E" w:rsidRPr="00E51136" w:rsidRDefault="00C245B4" w:rsidP="00E51136">
            <w:pPr>
              <w:rPr>
                <w:rFonts w:eastAsia="Times New Roman"/>
                <w:sz w:val="22"/>
                <w:szCs w:val="22"/>
              </w:rPr>
            </w:pPr>
            <w:r w:rsidRPr="00E51136">
              <w:rPr>
                <w:sz w:val="22"/>
                <w:szCs w:val="22"/>
              </w:rPr>
              <w:t>R</w:t>
            </w:r>
            <w:r w:rsidRPr="00E51136">
              <w:rPr>
                <w:sz w:val="22"/>
                <w:szCs w:val="22"/>
              </w:rPr>
              <w:t>eg. Ref: D03A/0207 Bord Ref: PL 06D.204042</w:t>
            </w:r>
          </w:p>
        </w:tc>
        <w:tc>
          <w:tcPr>
            <w:tcW w:w="5386" w:type="dxa"/>
          </w:tcPr>
          <w:p w14:paraId="1823CD42" w14:textId="40A1368C" w:rsidR="00B5169E" w:rsidRPr="00E51136" w:rsidRDefault="00641CDF" w:rsidP="00E51136">
            <w:pPr>
              <w:rPr>
                <w:rFonts w:eastAsia="Times New Roman"/>
                <w:sz w:val="22"/>
                <w:szCs w:val="22"/>
              </w:rPr>
            </w:pPr>
            <w:r w:rsidRPr="00E51136">
              <w:rPr>
                <w:sz w:val="22"/>
                <w:szCs w:val="22"/>
              </w:rPr>
              <w:t xml:space="preserve">mixed use development with 3 department stores, 1 supermarket and 76 retail units, restaurants/cafes/leisure units, </w:t>
            </w:r>
            <w:proofErr w:type="gramStart"/>
            <w:r w:rsidRPr="00E51136">
              <w:rPr>
                <w:sz w:val="22"/>
                <w:szCs w:val="22"/>
              </w:rPr>
              <w:t>105 bedroom</w:t>
            </w:r>
            <w:proofErr w:type="gramEnd"/>
            <w:r w:rsidRPr="00E51136">
              <w:rPr>
                <w:sz w:val="22"/>
                <w:szCs w:val="22"/>
              </w:rPr>
              <w:t xml:space="preserve"> hotel, library, offices and residential uses as well as 1,550 underground car parking spaces.</w:t>
            </w:r>
          </w:p>
        </w:tc>
        <w:tc>
          <w:tcPr>
            <w:tcW w:w="1508" w:type="dxa"/>
          </w:tcPr>
          <w:p w14:paraId="30862DAD" w14:textId="36A5E484" w:rsidR="00B5169E" w:rsidRPr="00E51136" w:rsidRDefault="00641CDF" w:rsidP="00E51136">
            <w:pPr>
              <w:rPr>
                <w:rFonts w:eastAsia="Times New Roman"/>
                <w:sz w:val="22"/>
                <w:szCs w:val="22"/>
              </w:rPr>
            </w:pPr>
            <w:r w:rsidRPr="00E51136">
              <w:rPr>
                <w:rFonts w:eastAsia="Times New Roman"/>
                <w:sz w:val="22"/>
                <w:szCs w:val="22"/>
              </w:rPr>
              <w:t>Grant</w:t>
            </w:r>
          </w:p>
        </w:tc>
      </w:tr>
      <w:tr w:rsidR="00B5169E" w14:paraId="2C360DA6" w14:textId="77777777" w:rsidTr="00E51136">
        <w:tc>
          <w:tcPr>
            <w:tcW w:w="2122" w:type="dxa"/>
          </w:tcPr>
          <w:p w14:paraId="730E6D4F" w14:textId="433559A9" w:rsidR="00B5169E" w:rsidRPr="00E51136" w:rsidRDefault="00641CDF" w:rsidP="00E51136">
            <w:pPr>
              <w:rPr>
                <w:rFonts w:eastAsia="Times New Roman"/>
                <w:sz w:val="22"/>
                <w:szCs w:val="22"/>
              </w:rPr>
            </w:pPr>
            <w:r w:rsidRPr="00E51136">
              <w:rPr>
                <w:sz w:val="22"/>
                <w:szCs w:val="22"/>
              </w:rPr>
              <w:t>R</w:t>
            </w:r>
            <w:r w:rsidRPr="00E51136">
              <w:rPr>
                <w:sz w:val="22"/>
                <w:szCs w:val="22"/>
              </w:rPr>
              <w:t>eg Ref: D04A/1456</w:t>
            </w:r>
          </w:p>
        </w:tc>
        <w:tc>
          <w:tcPr>
            <w:tcW w:w="5386" w:type="dxa"/>
          </w:tcPr>
          <w:p w14:paraId="0B845CF3" w14:textId="498FBF2F" w:rsidR="00B5169E" w:rsidRPr="00E51136" w:rsidRDefault="00DC4041" w:rsidP="00E51136">
            <w:pPr>
              <w:rPr>
                <w:rFonts w:eastAsia="Times New Roman"/>
                <w:sz w:val="22"/>
                <w:szCs w:val="22"/>
              </w:rPr>
            </w:pPr>
            <w:r w:rsidRPr="00E51136">
              <w:rPr>
                <w:sz w:val="22"/>
                <w:szCs w:val="22"/>
              </w:rPr>
              <w:t>A</w:t>
            </w:r>
            <w:r w:rsidRPr="00E51136">
              <w:rPr>
                <w:sz w:val="22"/>
                <w:szCs w:val="22"/>
              </w:rPr>
              <w:t>mendments to the above permission on a site which included additional properties on Main Street.</w:t>
            </w:r>
          </w:p>
        </w:tc>
        <w:tc>
          <w:tcPr>
            <w:tcW w:w="1508" w:type="dxa"/>
          </w:tcPr>
          <w:p w14:paraId="6FEE8375" w14:textId="1B72581A" w:rsidR="00B5169E" w:rsidRPr="00E51136" w:rsidRDefault="00DC4041" w:rsidP="00E51136">
            <w:pPr>
              <w:rPr>
                <w:rFonts w:eastAsia="Times New Roman"/>
                <w:sz w:val="22"/>
                <w:szCs w:val="22"/>
              </w:rPr>
            </w:pPr>
            <w:r w:rsidRPr="00E51136">
              <w:rPr>
                <w:rFonts w:eastAsia="Times New Roman"/>
                <w:sz w:val="22"/>
                <w:szCs w:val="22"/>
              </w:rPr>
              <w:t>Grant</w:t>
            </w:r>
          </w:p>
        </w:tc>
      </w:tr>
      <w:tr w:rsidR="00B5169E" w14:paraId="1193E4F3" w14:textId="77777777" w:rsidTr="00E51136">
        <w:tc>
          <w:tcPr>
            <w:tcW w:w="2122" w:type="dxa"/>
          </w:tcPr>
          <w:p w14:paraId="30B673BF" w14:textId="62398B48" w:rsidR="00B5169E" w:rsidRPr="00E51136" w:rsidRDefault="00DC4041" w:rsidP="00E51136">
            <w:pPr>
              <w:rPr>
                <w:rFonts w:eastAsia="Times New Roman"/>
                <w:sz w:val="22"/>
                <w:szCs w:val="22"/>
              </w:rPr>
            </w:pPr>
            <w:r w:rsidRPr="00E51136">
              <w:rPr>
                <w:sz w:val="22"/>
                <w:szCs w:val="22"/>
              </w:rPr>
              <w:t>R</w:t>
            </w:r>
            <w:r w:rsidRPr="00E51136">
              <w:rPr>
                <w:sz w:val="22"/>
                <w:szCs w:val="22"/>
              </w:rPr>
              <w:t>eg Ref: D06A/0506</w:t>
            </w:r>
          </w:p>
        </w:tc>
        <w:tc>
          <w:tcPr>
            <w:tcW w:w="5386" w:type="dxa"/>
          </w:tcPr>
          <w:p w14:paraId="62832314" w14:textId="26BD840D" w:rsidR="00B5169E" w:rsidRPr="00E51136" w:rsidRDefault="00DC4041" w:rsidP="00E51136">
            <w:pPr>
              <w:rPr>
                <w:rFonts w:eastAsia="Times New Roman"/>
                <w:sz w:val="22"/>
                <w:szCs w:val="22"/>
              </w:rPr>
            </w:pPr>
            <w:r w:rsidRPr="00E51136">
              <w:rPr>
                <w:sz w:val="22"/>
                <w:szCs w:val="22"/>
              </w:rPr>
              <w:t>Permission for amendments to accommodate a major anchor store at the northern end of the scheme. The retail and restaurant/ café content increased along with various other amendments at the northern end of the site. The application provided for additional parking with a total of 1,783 spaces</w:t>
            </w:r>
          </w:p>
        </w:tc>
        <w:tc>
          <w:tcPr>
            <w:tcW w:w="1508" w:type="dxa"/>
          </w:tcPr>
          <w:p w14:paraId="5BE5950C" w14:textId="0EBCC715" w:rsidR="00B5169E" w:rsidRPr="00E51136" w:rsidRDefault="00DC4041" w:rsidP="00E51136">
            <w:pPr>
              <w:rPr>
                <w:rFonts w:eastAsia="Times New Roman"/>
                <w:sz w:val="22"/>
                <w:szCs w:val="22"/>
              </w:rPr>
            </w:pPr>
            <w:r w:rsidRPr="00E51136">
              <w:rPr>
                <w:rFonts w:eastAsia="Times New Roman"/>
                <w:sz w:val="22"/>
                <w:szCs w:val="22"/>
              </w:rPr>
              <w:t>Grant</w:t>
            </w:r>
          </w:p>
        </w:tc>
      </w:tr>
      <w:tr w:rsidR="00B5169E" w14:paraId="7E733190" w14:textId="77777777" w:rsidTr="00E51136">
        <w:tc>
          <w:tcPr>
            <w:tcW w:w="2122" w:type="dxa"/>
          </w:tcPr>
          <w:p w14:paraId="71C2EDDB" w14:textId="454DF60A" w:rsidR="00B5169E" w:rsidRPr="00E51136" w:rsidRDefault="00581CBB" w:rsidP="00E51136">
            <w:pPr>
              <w:rPr>
                <w:rFonts w:eastAsia="Times New Roman"/>
                <w:sz w:val="22"/>
                <w:szCs w:val="22"/>
              </w:rPr>
            </w:pPr>
            <w:r w:rsidRPr="00E51136">
              <w:rPr>
                <w:sz w:val="22"/>
                <w:szCs w:val="22"/>
              </w:rPr>
              <w:t>Reg Ref: D07A/0261</w:t>
            </w:r>
          </w:p>
        </w:tc>
        <w:tc>
          <w:tcPr>
            <w:tcW w:w="5386" w:type="dxa"/>
          </w:tcPr>
          <w:p w14:paraId="5E2BD182" w14:textId="14FF260B" w:rsidR="00B5169E" w:rsidRPr="00E51136" w:rsidRDefault="00581CBB" w:rsidP="00E51136">
            <w:pPr>
              <w:rPr>
                <w:rFonts w:eastAsia="Times New Roman"/>
                <w:sz w:val="22"/>
                <w:szCs w:val="22"/>
              </w:rPr>
            </w:pPr>
            <w:r w:rsidRPr="00E51136">
              <w:rPr>
                <w:sz w:val="22"/>
                <w:szCs w:val="22"/>
              </w:rPr>
              <w:t>Arising from detailed consultations with the Roads Department in the context of Reg Ref: D06A/0506, the revised phase 2 scheme was further redesigned to provide a tunnelled slip road from Dundrum by-pass (northbound) with underpass beneath the by-pass road to gain access to the site. This meant that the previously permitted entrance to the site from Main Street was to be removed.</w:t>
            </w:r>
          </w:p>
        </w:tc>
        <w:tc>
          <w:tcPr>
            <w:tcW w:w="1508" w:type="dxa"/>
          </w:tcPr>
          <w:p w14:paraId="5211583E" w14:textId="1E5CBB54" w:rsidR="00B5169E" w:rsidRPr="00E51136" w:rsidRDefault="00581CBB" w:rsidP="00E51136">
            <w:pPr>
              <w:rPr>
                <w:rFonts w:eastAsia="Times New Roman"/>
                <w:sz w:val="22"/>
                <w:szCs w:val="22"/>
              </w:rPr>
            </w:pPr>
            <w:r w:rsidRPr="00E51136">
              <w:rPr>
                <w:rFonts w:eastAsia="Times New Roman"/>
                <w:sz w:val="22"/>
                <w:szCs w:val="22"/>
              </w:rPr>
              <w:t>Grant</w:t>
            </w:r>
          </w:p>
        </w:tc>
      </w:tr>
      <w:tr w:rsidR="00B5169E" w14:paraId="60EC60F0" w14:textId="77777777" w:rsidTr="00E51136">
        <w:tc>
          <w:tcPr>
            <w:tcW w:w="2122" w:type="dxa"/>
          </w:tcPr>
          <w:p w14:paraId="244168DC" w14:textId="133AF071" w:rsidR="00B5169E" w:rsidRPr="00E51136" w:rsidRDefault="00581CBB" w:rsidP="00E51136">
            <w:pPr>
              <w:rPr>
                <w:rFonts w:eastAsia="Times New Roman"/>
                <w:sz w:val="22"/>
                <w:szCs w:val="22"/>
              </w:rPr>
            </w:pPr>
            <w:r w:rsidRPr="00E51136">
              <w:rPr>
                <w:sz w:val="22"/>
                <w:szCs w:val="22"/>
              </w:rPr>
              <w:t>Reg Ref: D08A/0231; Bord Ref: PL06D.233317</w:t>
            </w:r>
          </w:p>
        </w:tc>
        <w:tc>
          <w:tcPr>
            <w:tcW w:w="5386" w:type="dxa"/>
          </w:tcPr>
          <w:p w14:paraId="7C608A06" w14:textId="5CEE0C79" w:rsidR="00B5169E" w:rsidRPr="00E51136" w:rsidRDefault="00E51136" w:rsidP="00E51136">
            <w:pPr>
              <w:rPr>
                <w:rFonts w:eastAsia="Times New Roman"/>
                <w:sz w:val="22"/>
                <w:szCs w:val="22"/>
              </w:rPr>
            </w:pPr>
            <w:r w:rsidRPr="00E51136">
              <w:rPr>
                <w:sz w:val="22"/>
                <w:szCs w:val="22"/>
              </w:rPr>
              <w:t xml:space="preserve">This development included all properties to the west of Main Street and included proposals for the tunnelled underpass and upgrading of </w:t>
            </w:r>
            <w:proofErr w:type="spellStart"/>
            <w:r w:rsidRPr="00E51136">
              <w:rPr>
                <w:sz w:val="22"/>
                <w:szCs w:val="22"/>
              </w:rPr>
              <w:t>Sweetmount</w:t>
            </w:r>
            <w:proofErr w:type="spellEnd"/>
            <w:r w:rsidRPr="00E51136">
              <w:rPr>
                <w:sz w:val="22"/>
                <w:szCs w:val="22"/>
              </w:rPr>
              <w:t xml:space="preserve"> Park. The overall development comprised 3 main elements as </w:t>
            </w:r>
            <w:proofErr w:type="gramStart"/>
            <w:r w:rsidRPr="00E51136">
              <w:rPr>
                <w:sz w:val="22"/>
                <w:szCs w:val="22"/>
              </w:rPr>
              <w:t>follows:-</w:t>
            </w:r>
            <w:proofErr w:type="gramEnd"/>
            <w:r w:rsidRPr="00E51136">
              <w:rPr>
                <w:sz w:val="22"/>
                <w:szCs w:val="22"/>
              </w:rPr>
              <w:t xml:space="preserve"> 1. Main Street Frontage: 14 no. retail/ commercial units, 40 no. apartment units and the refurbishment of No’s 1-3 Glenville Terrace to create a single restaurant unit 2. Main Retail/ Centre: a retail / commercial centre arranged around a series of internalised streets/ malls and public spaces, with accommodation including a Major Department Store, 11 no. secondary anchor units (MSUs) and 66 no. retail/ </w:t>
            </w:r>
            <w:proofErr w:type="gramStart"/>
            <w:r w:rsidRPr="00E51136">
              <w:rPr>
                <w:sz w:val="22"/>
                <w:szCs w:val="22"/>
              </w:rPr>
              <w:t>non retail</w:t>
            </w:r>
            <w:proofErr w:type="gramEnd"/>
            <w:r w:rsidRPr="00E51136">
              <w:rPr>
                <w:sz w:val="22"/>
                <w:szCs w:val="22"/>
              </w:rPr>
              <w:t xml:space="preserve"> services units, 9 no. restaurant units, a library, crèche and ancillary areas. 3. Hotel: 96 bed </w:t>
            </w:r>
            <w:proofErr w:type="gramStart"/>
            <w:r w:rsidRPr="00E51136">
              <w:rPr>
                <w:sz w:val="22"/>
                <w:szCs w:val="22"/>
              </w:rPr>
              <w:t>hotel</w:t>
            </w:r>
            <w:proofErr w:type="gramEnd"/>
            <w:r w:rsidRPr="00E51136">
              <w:rPr>
                <w:sz w:val="22"/>
                <w:szCs w:val="22"/>
              </w:rPr>
              <w:t xml:space="preserve"> located at the northern end of the site. The accommodation was proposed over 4 underground levels accommodating parking (1900 spaces) and a total Gross Floor Area of 106,618.3sq.m (excluding parking and service yards 70,344.2sq.m)</w:t>
            </w:r>
          </w:p>
        </w:tc>
        <w:tc>
          <w:tcPr>
            <w:tcW w:w="1508" w:type="dxa"/>
          </w:tcPr>
          <w:p w14:paraId="1E9BFAAC" w14:textId="692BBE38" w:rsidR="00B5169E" w:rsidRPr="00E51136" w:rsidRDefault="00E51136" w:rsidP="00E51136">
            <w:pPr>
              <w:rPr>
                <w:rFonts w:eastAsia="Times New Roman"/>
                <w:sz w:val="22"/>
                <w:szCs w:val="22"/>
              </w:rPr>
            </w:pPr>
            <w:r w:rsidRPr="00E51136">
              <w:rPr>
                <w:rFonts w:eastAsia="Times New Roman"/>
                <w:sz w:val="22"/>
                <w:szCs w:val="22"/>
              </w:rPr>
              <w:t xml:space="preserve">Grant </w:t>
            </w:r>
          </w:p>
        </w:tc>
      </w:tr>
    </w:tbl>
    <w:p w14:paraId="74A63785" w14:textId="0F7E998D" w:rsidR="00E53289" w:rsidRPr="00B5169E" w:rsidRDefault="00E53289" w:rsidP="00B5169E">
      <w:pPr>
        <w:spacing w:after="0"/>
        <w:jc w:val="both"/>
        <w:rPr>
          <w:rFonts w:eastAsia="Times New Roman"/>
        </w:rPr>
      </w:pPr>
      <w:r w:rsidRPr="00B5169E">
        <w:rPr>
          <w:rFonts w:eastAsia="Times New Roman"/>
        </w:rPr>
        <w:t xml:space="preserve"> </w:t>
      </w:r>
    </w:p>
    <w:p w14:paraId="2BCA104E" w14:textId="71C346FB" w:rsidR="00E53289" w:rsidRPr="00E51136" w:rsidRDefault="00E53289" w:rsidP="00E51136">
      <w:pPr>
        <w:tabs>
          <w:tab w:val="left" w:pos="6735"/>
        </w:tabs>
        <w:spacing w:after="0"/>
        <w:jc w:val="both"/>
        <w:rPr>
          <w:rFonts w:eastAsia="Times New Roman"/>
        </w:rPr>
      </w:pPr>
      <w:r w:rsidRPr="00081159">
        <w:rPr>
          <w:rFonts w:eastAsia="Times New Roman"/>
        </w:rPr>
        <w:t>File for assessment and report.</w:t>
      </w:r>
    </w:p>
    <w:bookmarkEnd w:id="0"/>
    <w:p w14:paraId="01E04DAB" w14:textId="77777777" w:rsidR="00E53289" w:rsidRPr="000542CC" w:rsidRDefault="00E53289" w:rsidP="00E53289"/>
    <w:p w14:paraId="1510379F" w14:textId="77777777" w:rsidR="00E53289" w:rsidRPr="00D91D84" w:rsidRDefault="00E53289" w:rsidP="00E53289"/>
    <w:sectPr w:rsidR="00E53289" w:rsidRPr="00D91D84">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DF0D" w14:textId="77777777" w:rsidR="00000000" w:rsidRDefault="00E51136">
      <w:pPr>
        <w:spacing w:after="0" w:line="240" w:lineRule="auto"/>
      </w:pPr>
      <w:r>
        <w:separator/>
      </w:r>
    </w:p>
  </w:endnote>
  <w:endnote w:type="continuationSeparator" w:id="0">
    <w:p w14:paraId="5325FEC6" w14:textId="77777777" w:rsidR="00000000" w:rsidRDefault="00E5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16F8" w14:textId="728685BF" w:rsidR="00BD1046" w:rsidRPr="0012002E" w:rsidRDefault="00B2135C">
    <w:pPr>
      <w:tabs>
        <w:tab w:val="center" w:pos="4536"/>
        <w:tab w:val="right" w:pos="9072"/>
      </w:tabs>
      <w:ind w:left="4536" w:hanging="4536"/>
    </w:pPr>
    <w:r w:rsidRPr="0012002E">
      <w:rPr>
        <w:rStyle w:val="12FooterText"/>
        <w:rFonts w:ascii="Arial" w:hAnsi="Arial"/>
      </w:rPr>
      <w:t>ABP-</w:t>
    </w:r>
    <w:r w:rsidR="00E51136">
      <w:rPr>
        <w:rStyle w:val="12FooterText"/>
        <w:rFonts w:ascii="Arial" w:hAnsi="Arial"/>
      </w:rPr>
      <w:t>313220</w:t>
    </w:r>
    <w:r>
      <w:rPr>
        <w:rStyle w:val="12FooterText"/>
        <w:rFonts w:ascii="Arial" w:hAnsi="Arial"/>
      </w:rPr>
      <w:t>-</w:t>
    </w:r>
    <w:r w:rsidR="00E51136">
      <w:rPr>
        <w:rStyle w:val="12FooterText"/>
        <w:rFonts w:ascii="Arial" w:hAnsi="Arial"/>
      </w:rPr>
      <w:t>22</w:t>
    </w:r>
    <w:r w:rsidRPr="0012002E">
      <w:rPr>
        <w:rStyle w:val="12FooterText"/>
        <w:rFonts w:ascii="Arial" w:hAnsi="Arial"/>
      </w:rPr>
      <w:tab/>
      <w:t>An Bord Pleanála</w:t>
    </w:r>
    <w:r w:rsidRPr="0012002E">
      <w:rPr>
        <w:rStyle w:val="12FooterText"/>
        <w:rFonts w:ascii="Arial" w:hAnsi="Arial"/>
      </w:rPr>
      <w:tab/>
      <w:t xml:space="preserve">Page </w:t>
    </w:r>
    <w:r w:rsidRPr="0012002E">
      <w:rPr>
        <w:rStyle w:val="12FooterText"/>
        <w:rFonts w:ascii="Arial" w:hAnsi="Arial"/>
      </w:rPr>
      <w:fldChar w:fldCharType="begin"/>
    </w:r>
    <w:r w:rsidRPr="0012002E">
      <w:rPr>
        <w:rStyle w:val="12FooterText"/>
        <w:rFonts w:ascii="Arial" w:hAnsi="Arial"/>
      </w:rPr>
      <w:instrText xml:space="preserve"> PAGE </w:instrText>
    </w:r>
    <w:r w:rsidRPr="0012002E">
      <w:rPr>
        <w:rStyle w:val="12FooterText"/>
        <w:rFonts w:ascii="Arial" w:hAnsi="Arial"/>
      </w:rPr>
      <w:fldChar w:fldCharType="separate"/>
    </w:r>
    <w:r>
      <w:rPr>
        <w:rStyle w:val="12FooterText"/>
        <w:rFonts w:ascii="Arial" w:hAnsi="Arial"/>
        <w:noProof/>
      </w:rPr>
      <w:t>1</w:t>
    </w:r>
    <w:r w:rsidRPr="0012002E">
      <w:rPr>
        <w:rStyle w:val="12FooterText"/>
        <w:rFonts w:ascii="Arial" w:hAnsi="Arial"/>
      </w:rPr>
      <w:fldChar w:fldCharType="end"/>
    </w:r>
    <w:r w:rsidRPr="0012002E">
      <w:rPr>
        <w:rStyle w:val="12FooterText"/>
        <w:rFonts w:ascii="Arial" w:hAnsi="Arial"/>
      </w:rPr>
      <w:t xml:space="preserve"> of </w:t>
    </w:r>
    <w:r w:rsidRPr="0012002E">
      <w:rPr>
        <w:rStyle w:val="12FooterText"/>
        <w:rFonts w:ascii="Arial" w:hAnsi="Arial"/>
      </w:rPr>
      <w:fldChar w:fldCharType="begin"/>
    </w:r>
    <w:r w:rsidRPr="0012002E">
      <w:rPr>
        <w:rStyle w:val="12FooterText"/>
        <w:rFonts w:ascii="Arial" w:hAnsi="Arial"/>
      </w:rPr>
      <w:instrText xml:space="preserve"> NUMPAGES </w:instrText>
    </w:r>
    <w:r w:rsidRPr="0012002E">
      <w:rPr>
        <w:rStyle w:val="12FooterText"/>
        <w:rFonts w:ascii="Arial" w:hAnsi="Arial"/>
      </w:rPr>
      <w:fldChar w:fldCharType="separate"/>
    </w:r>
    <w:r>
      <w:rPr>
        <w:rStyle w:val="12FooterText"/>
        <w:rFonts w:ascii="Arial" w:hAnsi="Arial"/>
        <w:noProof/>
      </w:rPr>
      <w:t>1</w:t>
    </w:r>
    <w:r w:rsidRPr="0012002E">
      <w:rPr>
        <w:rStyle w:val="12FooterText"/>
        <w:rFonts w:ascii="Arial" w:hAnsi="Arial"/>
      </w:rPr>
      <w:fldChar w:fldCharType="end"/>
    </w:r>
  </w:p>
  <w:p w14:paraId="1104F80C" w14:textId="77777777" w:rsidR="00BD1046" w:rsidRDefault="00E5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9A0D" w14:textId="77777777" w:rsidR="00000000" w:rsidRDefault="00E51136">
      <w:pPr>
        <w:spacing w:after="0" w:line="240" w:lineRule="auto"/>
      </w:pPr>
      <w:r>
        <w:separator/>
      </w:r>
    </w:p>
  </w:footnote>
  <w:footnote w:type="continuationSeparator" w:id="0">
    <w:p w14:paraId="1C04144E" w14:textId="77777777" w:rsidR="00000000" w:rsidRDefault="00E51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480"/>
    <w:multiLevelType w:val="hybridMultilevel"/>
    <w:tmpl w:val="9B021BF8"/>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48400968"/>
    <w:multiLevelType w:val="multilevel"/>
    <w:tmpl w:val="10EC6A84"/>
    <w:lvl w:ilvl="0">
      <w:start w:val="1"/>
      <w:numFmt w:val="decimal"/>
      <w:lvlText w:val="%1."/>
      <w:lvlJc w:val="left"/>
      <w:pPr>
        <w:ind w:left="846" w:hanging="42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781330CD"/>
    <w:multiLevelType w:val="hybridMultilevel"/>
    <w:tmpl w:val="BE207366"/>
    <w:lvl w:ilvl="0" w:tplc="78A26FE8">
      <w:start w:val="2"/>
      <w:numFmt w:val="decimal"/>
      <w:lvlText w:val="%1."/>
      <w:lvlJc w:val="left"/>
      <w:pPr>
        <w:ind w:left="426" w:hanging="360"/>
      </w:pPr>
      <w:rPr>
        <w:rFonts w:ascii="Arial" w:eastAsia="Times New Roman" w:hAnsi="Arial" w:cs="Arial" w:hint="default"/>
        <w:i w:val="0"/>
        <w:sz w:val="22"/>
        <w:szCs w:val="22"/>
      </w:rPr>
    </w:lvl>
    <w:lvl w:ilvl="1" w:tplc="18090019">
      <w:start w:val="1"/>
      <w:numFmt w:val="lowerLetter"/>
      <w:lvlText w:val="%2."/>
      <w:lvlJc w:val="left"/>
      <w:pPr>
        <w:ind w:left="1146" w:hanging="360"/>
      </w:pPr>
    </w:lvl>
    <w:lvl w:ilvl="2" w:tplc="1809001B" w:tentative="1">
      <w:start w:val="1"/>
      <w:numFmt w:val="lowerRoman"/>
      <w:lvlText w:val="%3."/>
      <w:lvlJc w:val="right"/>
      <w:pPr>
        <w:ind w:left="1866" w:hanging="180"/>
      </w:pPr>
    </w:lvl>
    <w:lvl w:ilvl="3" w:tplc="1809000F" w:tentative="1">
      <w:start w:val="1"/>
      <w:numFmt w:val="decimal"/>
      <w:lvlText w:val="%4."/>
      <w:lvlJc w:val="left"/>
      <w:pPr>
        <w:ind w:left="2586" w:hanging="360"/>
      </w:pPr>
    </w:lvl>
    <w:lvl w:ilvl="4" w:tplc="18090019" w:tentative="1">
      <w:start w:val="1"/>
      <w:numFmt w:val="lowerLetter"/>
      <w:lvlText w:val="%5."/>
      <w:lvlJc w:val="left"/>
      <w:pPr>
        <w:ind w:left="3306" w:hanging="360"/>
      </w:pPr>
    </w:lvl>
    <w:lvl w:ilvl="5" w:tplc="1809001B" w:tentative="1">
      <w:start w:val="1"/>
      <w:numFmt w:val="lowerRoman"/>
      <w:lvlText w:val="%6."/>
      <w:lvlJc w:val="right"/>
      <w:pPr>
        <w:ind w:left="4026" w:hanging="180"/>
      </w:pPr>
    </w:lvl>
    <w:lvl w:ilvl="6" w:tplc="1809000F" w:tentative="1">
      <w:start w:val="1"/>
      <w:numFmt w:val="decimal"/>
      <w:lvlText w:val="%7."/>
      <w:lvlJc w:val="left"/>
      <w:pPr>
        <w:ind w:left="4746" w:hanging="360"/>
      </w:pPr>
    </w:lvl>
    <w:lvl w:ilvl="7" w:tplc="18090019" w:tentative="1">
      <w:start w:val="1"/>
      <w:numFmt w:val="lowerLetter"/>
      <w:lvlText w:val="%8."/>
      <w:lvlJc w:val="left"/>
      <w:pPr>
        <w:ind w:left="5466" w:hanging="360"/>
      </w:pPr>
    </w:lvl>
    <w:lvl w:ilvl="8" w:tplc="1809001B" w:tentative="1">
      <w:start w:val="1"/>
      <w:numFmt w:val="lowerRoman"/>
      <w:lvlText w:val="%9."/>
      <w:lvlJc w:val="right"/>
      <w:pPr>
        <w:ind w:left="6186" w:hanging="180"/>
      </w:pPr>
    </w:lvl>
  </w:abstractNum>
  <w:abstractNum w:abstractNumId="3" w15:restartNumberingAfterBreak="0">
    <w:nsid w:val="7FE434CB"/>
    <w:multiLevelType w:val="hybridMultilevel"/>
    <w:tmpl w:val="DB668E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24045420">
    <w:abstractNumId w:val="1"/>
  </w:num>
  <w:num w:numId="2" w16cid:durableId="1000503072">
    <w:abstractNumId w:val="2"/>
  </w:num>
  <w:num w:numId="3" w16cid:durableId="1700353372">
    <w:abstractNumId w:val="3"/>
  </w:num>
  <w:num w:numId="4" w16cid:durableId="176194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89"/>
    <w:rsid w:val="00070CDD"/>
    <w:rsid w:val="000C5B0D"/>
    <w:rsid w:val="00106BC2"/>
    <w:rsid w:val="00147E0B"/>
    <w:rsid w:val="00230D08"/>
    <w:rsid w:val="0024787C"/>
    <w:rsid w:val="002A42A8"/>
    <w:rsid w:val="0031709D"/>
    <w:rsid w:val="003606DF"/>
    <w:rsid w:val="003975B1"/>
    <w:rsid w:val="0045092A"/>
    <w:rsid w:val="0045320E"/>
    <w:rsid w:val="0050224E"/>
    <w:rsid w:val="00546505"/>
    <w:rsid w:val="00581CBB"/>
    <w:rsid w:val="005D332B"/>
    <w:rsid w:val="005E2BC6"/>
    <w:rsid w:val="00641CDF"/>
    <w:rsid w:val="00671496"/>
    <w:rsid w:val="006D67CA"/>
    <w:rsid w:val="007806EB"/>
    <w:rsid w:val="007D4BA6"/>
    <w:rsid w:val="007F7DBE"/>
    <w:rsid w:val="009321E7"/>
    <w:rsid w:val="0095069E"/>
    <w:rsid w:val="009E37FA"/>
    <w:rsid w:val="00A56B79"/>
    <w:rsid w:val="00AD4BBF"/>
    <w:rsid w:val="00B00712"/>
    <w:rsid w:val="00B2135C"/>
    <w:rsid w:val="00B5169E"/>
    <w:rsid w:val="00B540BA"/>
    <w:rsid w:val="00B56ED7"/>
    <w:rsid w:val="00B775ED"/>
    <w:rsid w:val="00BB689C"/>
    <w:rsid w:val="00C245B4"/>
    <w:rsid w:val="00CA6755"/>
    <w:rsid w:val="00CB1593"/>
    <w:rsid w:val="00D42F57"/>
    <w:rsid w:val="00D91D84"/>
    <w:rsid w:val="00DC4041"/>
    <w:rsid w:val="00E00C89"/>
    <w:rsid w:val="00E07B64"/>
    <w:rsid w:val="00E51136"/>
    <w:rsid w:val="00E53289"/>
    <w:rsid w:val="00F44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BD9C"/>
  <w15:chartTrackingRefBased/>
  <w15:docId w15:val="{139133EB-7EC3-4E56-9224-4DC65E9B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3289"/>
    <w:pPr>
      <w:suppressAutoHyphens/>
      <w:autoSpaceDN w:val="0"/>
      <w:textAlignment w:val="baseline"/>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3289"/>
    <w:pPr>
      <w:tabs>
        <w:tab w:val="center" w:pos="4513"/>
        <w:tab w:val="right" w:pos="9026"/>
      </w:tabs>
      <w:spacing w:after="0" w:line="240" w:lineRule="auto"/>
    </w:pPr>
  </w:style>
  <w:style w:type="character" w:customStyle="1" w:styleId="FooterChar">
    <w:name w:val="Footer Char"/>
    <w:basedOn w:val="DefaultParagraphFont"/>
    <w:link w:val="Footer"/>
    <w:rsid w:val="00E53289"/>
    <w:rPr>
      <w:rFonts w:eastAsia="Calibri"/>
    </w:rPr>
  </w:style>
  <w:style w:type="character" w:customStyle="1" w:styleId="12FooterText">
    <w:name w:val="12) Footer Text"/>
    <w:basedOn w:val="DefaultParagraphFont"/>
    <w:rsid w:val="00E53289"/>
    <w:rPr>
      <w:rFonts w:ascii="Calibri" w:hAnsi="Calibri" w:cs="Arial"/>
      <w:b/>
      <w:bCs w:val="0"/>
      <w:sz w:val="22"/>
    </w:rPr>
  </w:style>
  <w:style w:type="paragraph" w:styleId="ListParagraph">
    <w:name w:val="List Paragraph"/>
    <w:basedOn w:val="Normal"/>
    <w:uiPriority w:val="34"/>
    <w:qFormat/>
    <w:rsid w:val="00E53289"/>
    <w:pPr>
      <w:ind w:left="720"/>
    </w:pPr>
  </w:style>
  <w:style w:type="character" w:styleId="Hyperlink">
    <w:name w:val="Hyperlink"/>
    <w:basedOn w:val="DefaultParagraphFont"/>
    <w:uiPriority w:val="99"/>
    <w:unhideWhenUsed/>
    <w:rsid w:val="00B775ED"/>
    <w:rPr>
      <w:color w:val="0000FF" w:themeColor="hyperlink"/>
      <w:u w:val="single"/>
    </w:rPr>
  </w:style>
  <w:style w:type="character" w:styleId="UnresolvedMention">
    <w:name w:val="Unresolved Mention"/>
    <w:basedOn w:val="DefaultParagraphFont"/>
    <w:uiPriority w:val="99"/>
    <w:semiHidden/>
    <w:unhideWhenUsed/>
    <w:rsid w:val="00B775ED"/>
    <w:rPr>
      <w:color w:val="605E5C"/>
      <w:shd w:val="clear" w:color="auto" w:fill="E1DFDD"/>
    </w:rPr>
  </w:style>
  <w:style w:type="table" w:styleId="TableGrid">
    <w:name w:val="Table Grid"/>
    <w:basedOn w:val="TableNormal"/>
    <w:uiPriority w:val="59"/>
    <w:rsid w:val="00B5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136"/>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rumvillageshd.i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EF7DB1123834BAC097BCA83460BA2" ma:contentTypeVersion="4" ma:contentTypeDescription="Create a new document." ma:contentTypeScope="" ma:versionID="a9948d5a0c6b5d0c83c1fde663e7cc19">
  <xsd:schema xmlns:xsd="http://www.w3.org/2001/XMLSchema" xmlns:xs="http://www.w3.org/2001/XMLSchema" xmlns:p="http://schemas.microsoft.com/office/2006/metadata/properties" xmlns:ns2="33c638b3-2d45-4a8f-a38e-29a734b2ea4e" xmlns:ns3="51F4558D-6C24-48CC-8C01-A1B51677CCAC" xmlns:ns4="51f4558d-6c24-48cc-8c01-a1b51677ccac" targetNamespace="http://schemas.microsoft.com/office/2006/metadata/properties" ma:root="true" ma:fieldsID="16c9c164eeaa6fcbe25ad68a0110518e" ns2:_="" ns3:_="" ns4:_="">
    <xsd:import namespace="33c638b3-2d45-4a8f-a38e-29a734b2ea4e"/>
    <xsd:import namespace="51F4558D-6C24-48CC-8C01-A1B51677CCAC"/>
    <xsd:import namespace="51f4558d-6c24-48cc-8c01-a1b51677ccac"/>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ate_x0020_of_x0020_Document"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38b3-2d45-4a8f-a38e-29a734b2ea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F4558D-6C24-48CC-8C01-A1B51677CCAC"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ABP Location Map"/>
          <xsd:enumeration value="Adhoc letter / Correspondence"/>
          <xsd:enumeration value="Inspectors Report"/>
          <xsd:enumeration value="Internal Admin"/>
          <xsd:enumeration value="Internal Form"/>
          <xsd:enumeration value="Memo"/>
          <xsd:enumeration value="Other"/>
        </xsd:restriction>
      </xsd:simpleType>
    </xsd:element>
    <xsd:element name="Date_x0020_of_x0020_Document" ma:index="12" nillable="true" ma:displayName="Date of Document" ma:format="DateOnly" ma:internalName="Date_x0020_of_x0020_Docum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f4558d-6c24-48cc-8c01-a1b51677cca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of_x0020_Document xmlns="51F4558D-6C24-48CC-8C01-A1B51677CCAC" xsi:nil="true"/>
    <Document_x0020_Type xmlns="51F4558D-6C24-48CC-8C01-A1B51677CCAC" xsi:nil="true"/>
    <_dlc_DocId xmlns="33c638b3-2d45-4a8f-a38e-29a734b2ea4e">35HZN6QRV6F2-1444381027-2</_dlc_DocId>
    <_dlc_DocIdUrl xmlns="33c638b3-2d45-4a8f-a38e-29a734b2ea4e">
      <Url>https://abpleanala.sharepoint.com/sites/SHDCases/ABP-313220-22/_layouts/15/DocIdRedir.aspx?ID=35HZN6QRV6F2-1444381027-2</Url>
      <Description>35HZN6QRV6F2-1444381027-2</Description>
    </_dlc_DocIdUrl>
  </documentManagement>
</p:properties>
</file>

<file path=customXml/itemProps1.xml><?xml version="1.0" encoding="utf-8"?>
<ds:datastoreItem xmlns:ds="http://schemas.openxmlformats.org/officeDocument/2006/customXml" ds:itemID="{5794FD00-C49E-4D77-AABE-030BC04852F9}"/>
</file>

<file path=customXml/itemProps2.xml><?xml version="1.0" encoding="utf-8"?>
<ds:datastoreItem xmlns:ds="http://schemas.openxmlformats.org/officeDocument/2006/customXml" ds:itemID="{87F398EC-6EAB-47ED-B10D-E3CDFD34B128}"/>
</file>

<file path=customXml/itemProps3.xml><?xml version="1.0" encoding="utf-8"?>
<ds:datastoreItem xmlns:ds="http://schemas.openxmlformats.org/officeDocument/2006/customXml" ds:itemID="{CF1DE5CF-5E3C-4A1D-BC71-852707C36C5B}"/>
</file>

<file path=customXml/itemProps4.xml><?xml version="1.0" encoding="utf-8"?>
<ds:datastoreItem xmlns:ds="http://schemas.openxmlformats.org/officeDocument/2006/customXml" ds:itemID="{A0EDB4F6-721C-4FCD-BA4E-D74C198706BE}"/>
</file>

<file path=docProps/app.xml><?xml version="1.0" encoding="utf-8"?>
<Properties xmlns="http://schemas.openxmlformats.org/officeDocument/2006/extended-properties" xmlns:vt="http://schemas.openxmlformats.org/officeDocument/2006/docPropsVTypes">
  <Template>Normal</Template>
  <TotalTime>243</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Cullen</dc:creator>
  <cp:keywords/>
  <dc:description/>
  <cp:lastModifiedBy>Hannah Cullen</cp:lastModifiedBy>
  <cp:revision>23</cp:revision>
  <dcterms:created xsi:type="dcterms:W3CDTF">2022-06-14T10:28:00Z</dcterms:created>
  <dcterms:modified xsi:type="dcterms:W3CDTF">2022-06-15T10:17:00Z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0x010100D9CEF7DB1123834BAC097BCA83460BA2</vt:lpwstr>
  </property>
  <property fmtid="{D5CDD505-2E9C-101B-9397-08002B2CF9AE}" pid="3" name="_dlc_DocIdItemGuid">
    <vt:lpwstr>e256480d-e0da-4ca1-bc19-82bb2e569f93</vt:lpwstr>
  </property>
</Properties>
</file>